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613" w:rsidRDefault="00206613" w:rsidP="00C44632">
      <w:pPr>
        <w:jc w:val="center"/>
      </w:pPr>
      <w:bookmarkStart w:id="0" w:name="_GoBack"/>
      <w:bookmarkEnd w:id="0"/>
      <w:r>
        <w:t>ICPAN</w:t>
      </w:r>
      <w:proofErr w:type="gramStart"/>
      <w:r>
        <w:t>,Inc</w:t>
      </w:r>
      <w:proofErr w:type="gramEnd"/>
      <w:r>
        <w:t>. Protection Liability Report</w:t>
      </w:r>
      <w:r w:rsidR="00267B6D">
        <w:t>, October 27, 2015</w:t>
      </w:r>
    </w:p>
    <w:p w:rsidR="00206613" w:rsidRDefault="00206613"/>
    <w:p w:rsidR="00206613" w:rsidRDefault="00206613">
      <w:r>
        <w:t xml:space="preserve">Background Information </w:t>
      </w:r>
    </w:p>
    <w:p w:rsidR="005E1B38" w:rsidRDefault="005E1B38"/>
    <w:p w:rsidR="005E1B38" w:rsidRDefault="005E1B38">
      <w:r>
        <w:t xml:space="preserve">November 5, 2014: </w:t>
      </w:r>
      <w:r w:rsidR="00360912">
        <w:t xml:space="preserve">Steering Committee </w:t>
      </w:r>
      <w:r>
        <w:t>Minutes reflect that incorporation in the USA provides corporate shield protection</w:t>
      </w:r>
      <w:r w:rsidR="00462FE3">
        <w:t xml:space="preserve"> just through incorporation. Decision to investigate additional coverage once the organization is in good financial position.</w:t>
      </w:r>
    </w:p>
    <w:p w:rsidR="00206613" w:rsidRDefault="00206613"/>
    <w:p w:rsidR="00206613" w:rsidRDefault="00206613">
      <w:r>
        <w:t xml:space="preserve">Our legal advisor, Jeff Hurwit of Hurwit and Associates, provided names of prospective </w:t>
      </w:r>
      <w:r w:rsidR="00801D44">
        <w:t xml:space="preserve">insurance brokerages </w:t>
      </w:r>
      <w:r>
        <w:t xml:space="preserve">that </w:t>
      </w:r>
      <w:r w:rsidR="00801D44">
        <w:t>might be willing to give us quotes for Directors and Officers and Entity Liability Coverage</w:t>
      </w:r>
      <w:r w:rsidR="00267B6D">
        <w:t>, Employment Practices Liability and Fiduciary Liability.</w:t>
      </w:r>
    </w:p>
    <w:p w:rsidR="00267B6D" w:rsidRDefault="00267B6D"/>
    <w:p w:rsidR="00F851C0" w:rsidRDefault="00267B6D">
      <w:r>
        <w:t>Emails and phone calls to s</w:t>
      </w:r>
      <w:r w:rsidR="00C44632">
        <w:t xml:space="preserve">uggested contact names.  </w:t>
      </w:r>
      <w:r w:rsidR="00F851C0">
        <w:t xml:space="preserve">All requested confirmation of incorporation, </w:t>
      </w:r>
      <w:r w:rsidR="001F4959">
        <w:t xml:space="preserve">assets, </w:t>
      </w:r>
      <w:r w:rsidR="00F851C0">
        <w:t>IRS filing and confirmed standing as well as a permanent website address.</w:t>
      </w:r>
    </w:p>
    <w:p w:rsidR="00205035" w:rsidRDefault="00205035"/>
    <w:p w:rsidR="00F851C0" w:rsidRDefault="00F851C0"/>
    <w:p w:rsidR="00C71119" w:rsidRDefault="00C71119">
      <w:r>
        <w:t>To date:</w:t>
      </w:r>
      <w:r w:rsidR="003C77A9">
        <w:t xml:space="preserve"> </w:t>
      </w:r>
    </w:p>
    <w:p w:rsidR="00F851C0" w:rsidRDefault="00F851C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1F4959" w:rsidTr="001F4959">
        <w:tc>
          <w:tcPr>
            <w:tcW w:w="1915" w:type="dxa"/>
          </w:tcPr>
          <w:p w:rsidR="001F4959" w:rsidRDefault="001F4959">
            <w:r>
              <w:t>Insurance Co.</w:t>
            </w:r>
          </w:p>
        </w:tc>
        <w:tc>
          <w:tcPr>
            <w:tcW w:w="1915" w:type="dxa"/>
          </w:tcPr>
          <w:p w:rsidR="001F4959" w:rsidRDefault="001F4959">
            <w:r>
              <w:t>D&amp;O</w:t>
            </w:r>
          </w:p>
        </w:tc>
        <w:tc>
          <w:tcPr>
            <w:tcW w:w="1915" w:type="dxa"/>
          </w:tcPr>
          <w:p w:rsidR="001F4959" w:rsidRDefault="001F4959">
            <w:r>
              <w:t>EPL</w:t>
            </w:r>
          </w:p>
        </w:tc>
        <w:tc>
          <w:tcPr>
            <w:tcW w:w="1915" w:type="dxa"/>
          </w:tcPr>
          <w:p w:rsidR="001F4959" w:rsidRDefault="001F4959"/>
        </w:tc>
        <w:tc>
          <w:tcPr>
            <w:tcW w:w="1916" w:type="dxa"/>
          </w:tcPr>
          <w:p w:rsidR="001F4959" w:rsidRDefault="001F4959">
            <w:r>
              <w:t>Cost</w:t>
            </w:r>
            <w:r w:rsidR="00684F2C">
              <w:t xml:space="preserve"> $US</w:t>
            </w:r>
          </w:p>
        </w:tc>
      </w:tr>
      <w:tr w:rsidR="00D94A7C" w:rsidTr="001F4959">
        <w:tc>
          <w:tcPr>
            <w:tcW w:w="1915" w:type="dxa"/>
          </w:tcPr>
          <w:p w:rsidR="00D94A7C" w:rsidRDefault="00D94A7C" w:rsidP="000256D9">
            <w:r>
              <w:t>Great American Ins. Co.</w:t>
            </w:r>
          </w:p>
          <w:p w:rsidR="00DC4A68" w:rsidRDefault="00D94A7C" w:rsidP="000256D9"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</w:p>
          <w:p w:rsidR="00D94A7C" w:rsidRDefault="00D94A7C" w:rsidP="000256D9"/>
        </w:tc>
        <w:tc>
          <w:tcPr>
            <w:tcW w:w="1915" w:type="dxa"/>
          </w:tcPr>
          <w:p w:rsidR="00D94A7C" w:rsidRDefault="00D94A7C" w:rsidP="000256D9">
            <w:pPr>
              <w:rPr>
                <w:rStyle w:val="SubtleEmphasis"/>
                <w:b/>
                <w:i w:val="0"/>
              </w:rPr>
            </w:pPr>
            <w:r w:rsidRPr="00C71119">
              <w:rPr>
                <w:rStyle w:val="SubtleEmphasis"/>
                <w:b/>
                <w:i w:val="0"/>
              </w:rPr>
              <w:t>1 million</w:t>
            </w:r>
            <w:r>
              <w:rPr>
                <w:rStyle w:val="SubtleEmphasis"/>
                <w:b/>
                <w:i w:val="0"/>
              </w:rPr>
              <w:t xml:space="preserve"> </w:t>
            </w:r>
          </w:p>
          <w:p w:rsidR="000256D9" w:rsidRDefault="000256D9" w:rsidP="000256D9">
            <w:pPr>
              <w:rPr>
                <w:rStyle w:val="SubtleEmphasis"/>
                <w:b/>
                <w:i w:val="0"/>
              </w:rPr>
            </w:pPr>
          </w:p>
          <w:p w:rsidR="000256D9" w:rsidRDefault="000256D9" w:rsidP="000256D9">
            <w:pPr>
              <w:rPr>
                <w:rStyle w:val="SubtleEmphasis"/>
                <w:b/>
                <w:i w:val="0"/>
              </w:rPr>
            </w:pPr>
          </w:p>
          <w:p w:rsidR="000256D9" w:rsidRPr="00C71119" w:rsidRDefault="000256D9" w:rsidP="000256D9">
            <w:pPr>
              <w:rPr>
                <w:rStyle w:val="SubtleEmphasis"/>
                <w:b/>
                <w:i w:val="0"/>
              </w:rPr>
            </w:pPr>
          </w:p>
        </w:tc>
        <w:tc>
          <w:tcPr>
            <w:tcW w:w="1915" w:type="dxa"/>
          </w:tcPr>
          <w:p w:rsidR="00D94A7C" w:rsidRDefault="007D6731" w:rsidP="000256D9">
            <w:r>
              <w:t>1 million</w:t>
            </w:r>
          </w:p>
          <w:p w:rsidR="000256D9" w:rsidRDefault="000256D9" w:rsidP="000256D9"/>
          <w:p w:rsidR="000256D9" w:rsidRDefault="000256D9" w:rsidP="000256D9"/>
          <w:p w:rsidR="000256D9" w:rsidRDefault="000256D9" w:rsidP="000256D9"/>
        </w:tc>
        <w:tc>
          <w:tcPr>
            <w:tcW w:w="1915" w:type="dxa"/>
          </w:tcPr>
          <w:p w:rsidR="00D94A7C" w:rsidRDefault="00D94A7C" w:rsidP="000256D9">
            <w:r>
              <w:t>Shared cost</w:t>
            </w:r>
          </w:p>
          <w:p w:rsidR="00D94A7C" w:rsidRDefault="00D94A7C" w:rsidP="000256D9"/>
          <w:p w:rsidR="00D94A7C" w:rsidRDefault="00D94A7C" w:rsidP="000256D9"/>
          <w:p w:rsidR="00D94A7C" w:rsidRDefault="00D94A7C" w:rsidP="0087788D"/>
        </w:tc>
        <w:tc>
          <w:tcPr>
            <w:tcW w:w="1916" w:type="dxa"/>
          </w:tcPr>
          <w:p w:rsidR="00D94A7C" w:rsidRDefault="00D94A7C" w:rsidP="000256D9">
            <w:r>
              <w:t>$1076.00</w:t>
            </w:r>
          </w:p>
          <w:p w:rsidR="00D94A7C" w:rsidRDefault="00D94A7C" w:rsidP="000256D9"/>
          <w:p w:rsidR="00D94A7C" w:rsidRDefault="00D94A7C" w:rsidP="000256D9"/>
          <w:p w:rsidR="00D94A7C" w:rsidRDefault="00D94A7C" w:rsidP="000256D9"/>
        </w:tc>
      </w:tr>
      <w:tr w:rsidR="00684F2C" w:rsidTr="001F4959">
        <w:tc>
          <w:tcPr>
            <w:tcW w:w="1915" w:type="dxa"/>
          </w:tcPr>
          <w:p w:rsidR="00684F2C" w:rsidRDefault="00684F2C" w:rsidP="00684F2C">
            <w:r>
              <w:t>Great American Ins. Co.</w:t>
            </w:r>
          </w:p>
          <w:p w:rsidR="00684F2C" w:rsidRDefault="00684F2C" w:rsidP="000256D9"/>
        </w:tc>
        <w:tc>
          <w:tcPr>
            <w:tcW w:w="1915" w:type="dxa"/>
          </w:tcPr>
          <w:p w:rsidR="00684F2C" w:rsidRPr="00C71119" w:rsidRDefault="00684F2C" w:rsidP="000256D9">
            <w:pPr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1 million</w:t>
            </w:r>
          </w:p>
        </w:tc>
        <w:tc>
          <w:tcPr>
            <w:tcW w:w="1915" w:type="dxa"/>
          </w:tcPr>
          <w:p w:rsidR="00684F2C" w:rsidRDefault="00684F2C" w:rsidP="000256D9">
            <w:r>
              <w:t>1 million</w:t>
            </w:r>
          </w:p>
        </w:tc>
        <w:tc>
          <w:tcPr>
            <w:tcW w:w="1915" w:type="dxa"/>
          </w:tcPr>
          <w:p w:rsidR="00684F2C" w:rsidRDefault="00684F2C" w:rsidP="000256D9">
            <w:r>
              <w:t>2 separate limits</w:t>
            </w:r>
          </w:p>
        </w:tc>
        <w:tc>
          <w:tcPr>
            <w:tcW w:w="1916" w:type="dxa"/>
          </w:tcPr>
          <w:p w:rsidR="00684F2C" w:rsidRDefault="00684F2C" w:rsidP="000256D9">
            <w:r>
              <w:t>$1237.00</w:t>
            </w:r>
          </w:p>
        </w:tc>
      </w:tr>
      <w:tr w:rsidR="00DC4A68" w:rsidTr="001F4959">
        <w:tc>
          <w:tcPr>
            <w:tcW w:w="1915" w:type="dxa"/>
          </w:tcPr>
          <w:p w:rsidR="00DC4A68" w:rsidRDefault="00DC4A68" w:rsidP="000256D9">
            <w:r>
              <w:t>Great American</w:t>
            </w:r>
          </w:p>
          <w:p w:rsidR="00DC4A68" w:rsidRDefault="00DC4A68" w:rsidP="000256D9">
            <w:r>
              <w:t>Ins. Co.</w:t>
            </w:r>
          </w:p>
        </w:tc>
        <w:tc>
          <w:tcPr>
            <w:tcW w:w="1915" w:type="dxa"/>
          </w:tcPr>
          <w:p w:rsidR="00DC4A68" w:rsidRPr="00C71119" w:rsidRDefault="00DC4A68" w:rsidP="000256D9">
            <w:pPr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2 million</w:t>
            </w:r>
          </w:p>
        </w:tc>
        <w:tc>
          <w:tcPr>
            <w:tcW w:w="1915" w:type="dxa"/>
          </w:tcPr>
          <w:p w:rsidR="00DC4A68" w:rsidRDefault="00DC4A68" w:rsidP="000256D9">
            <w:r>
              <w:t>2 million</w:t>
            </w:r>
          </w:p>
        </w:tc>
        <w:tc>
          <w:tcPr>
            <w:tcW w:w="1915" w:type="dxa"/>
          </w:tcPr>
          <w:p w:rsidR="00DC4A68" w:rsidRDefault="00DC4A68" w:rsidP="00DC4A68">
            <w:r>
              <w:t>Shared cost</w:t>
            </w:r>
          </w:p>
          <w:p w:rsidR="00DC4A68" w:rsidRDefault="00DC4A68" w:rsidP="000256D9"/>
        </w:tc>
        <w:tc>
          <w:tcPr>
            <w:tcW w:w="1916" w:type="dxa"/>
          </w:tcPr>
          <w:p w:rsidR="00DC4A68" w:rsidRDefault="00DC4A68" w:rsidP="000256D9">
            <w:r>
              <w:t>$1</w:t>
            </w:r>
            <w:r w:rsidR="00684F2C">
              <w:t>613.00</w:t>
            </w:r>
          </w:p>
        </w:tc>
      </w:tr>
      <w:tr w:rsidR="00DC4A68" w:rsidTr="001F4959">
        <w:tc>
          <w:tcPr>
            <w:tcW w:w="1915" w:type="dxa"/>
          </w:tcPr>
          <w:p w:rsidR="00DC4A68" w:rsidRDefault="00DC4A68" w:rsidP="00DC4A68">
            <w:r>
              <w:t>Great American</w:t>
            </w:r>
          </w:p>
          <w:p w:rsidR="00DC4A68" w:rsidRDefault="00DC4A68" w:rsidP="00DC4A68">
            <w:r>
              <w:t>Ins. Co.</w:t>
            </w:r>
          </w:p>
        </w:tc>
        <w:tc>
          <w:tcPr>
            <w:tcW w:w="1915" w:type="dxa"/>
          </w:tcPr>
          <w:p w:rsidR="00DC4A68" w:rsidRDefault="00DC4A68" w:rsidP="000256D9">
            <w:pPr>
              <w:rPr>
                <w:rStyle w:val="SubtleEmphasis"/>
                <w:b/>
                <w:i w:val="0"/>
              </w:rPr>
            </w:pPr>
            <w:r>
              <w:rPr>
                <w:rStyle w:val="SubtleEmphasis"/>
                <w:b/>
                <w:i w:val="0"/>
              </w:rPr>
              <w:t>2 million</w:t>
            </w:r>
          </w:p>
        </w:tc>
        <w:tc>
          <w:tcPr>
            <w:tcW w:w="1915" w:type="dxa"/>
          </w:tcPr>
          <w:p w:rsidR="00DC4A68" w:rsidRDefault="00DC4A68" w:rsidP="000256D9">
            <w:r>
              <w:t>2 million</w:t>
            </w:r>
          </w:p>
        </w:tc>
        <w:tc>
          <w:tcPr>
            <w:tcW w:w="1915" w:type="dxa"/>
          </w:tcPr>
          <w:p w:rsidR="00DC4A68" w:rsidRDefault="00DC4A68" w:rsidP="000256D9">
            <w:r>
              <w:t>2 separate limits</w:t>
            </w:r>
          </w:p>
        </w:tc>
        <w:tc>
          <w:tcPr>
            <w:tcW w:w="1916" w:type="dxa"/>
          </w:tcPr>
          <w:p w:rsidR="00DC4A68" w:rsidRDefault="00684F2C" w:rsidP="000256D9">
            <w:r>
              <w:t>$1882</w:t>
            </w:r>
            <w:r w:rsidR="00DC4A68">
              <w:t>.00</w:t>
            </w:r>
          </w:p>
        </w:tc>
      </w:tr>
      <w:tr w:rsidR="00D94A7C" w:rsidTr="001F4959">
        <w:tc>
          <w:tcPr>
            <w:tcW w:w="1915" w:type="dxa"/>
          </w:tcPr>
          <w:p w:rsidR="00D94A7C" w:rsidRDefault="00D94A7C">
            <w:r>
              <w:t>Hartford</w:t>
            </w:r>
          </w:p>
        </w:tc>
        <w:tc>
          <w:tcPr>
            <w:tcW w:w="1915" w:type="dxa"/>
          </w:tcPr>
          <w:p w:rsidR="00D94A7C" w:rsidRDefault="00D94A7C">
            <w:r>
              <w:t>1 million</w:t>
            </w:r>
          </w:p>
          <w:p w:rsidR="00D94A7C" w:rsidRDefault="00D94A7C">
            <w:r>
              <w:t>Deductible $1000.00</w:t>
            </w:r>
          </w:p>
        </w:tc>
        <w:tc>
          <w:tcPr>
            <w:tcW w:w="1915" w:type="dxa"/>
          </w:tcPr>
          <w:p w:rsidR="00D94A7C" w:rsidRDefault="00D94A7C">
            <w:r>
              <w:t>1 million</w:t>
            </w:r>
          </w:p>
          <w:p w:rsidR="00D94A7C" w:rsidRDefault="00D94A7C">
            <w:r>
              <w:t>Deductible</w:t>
            </w:r>
          </w:p>
          <w:p w:rsidR="00D94A7C" w:rsidRDefault="00D94A7C">
            <w:r>
              <w:t>$1000.00</w:t>
            </w:r>
          </w:p>
        </w:tc>
        <w:tc>
          <w:tcPr>
            <w:tcW w:w="1915" w:type="dxa"/>
          </w:tcPr>
          <w:p w:rsidR="00D94A7C" w:rsidRDefault="00D94A7C"/>
        </w:tc>
        <w:tc>
          <w:tcPr>
            <w:tcW w:w="1916" w:type="dxa"/>
          </w:tcPr>
          <w:p w:rsidR="00D94A7C" w:rsidRDefault="00D94A7C">
            <w:r>
              <w:t>$545.00</w:t>
            </w:r>
          </w:p>
        </w:tc>
      </w:tr>
      <w:tr w:rsidR="00D94A7C" w:rsidTr="001F4959">
        <w:tc>
          <w:tcPr>
            <w:tcW w:w="1915" w:type="dxa"/>
          </w:tcPr>
          <w:p w:rsidR="00D94A7C" w:rsidRDefault="00D94A7C">
            <w:r>
              <w:t xml:space="preserve">Ace   </w:t>
            </w:r>
          </w:p>
        </w:tc>
        <w:tc>
          <w:tcPr>
            <w:tcW w:w="1915" w:type="dxa"/>
          </w:tcPr>
          <w:p w:rsidR="00D94A7C" w:rsidRDefault="00D94A7C">
            <w:r>
              <w:t>1 million</w:t>
            </w:r>
          </w:p>
          <w:p w:rsidR="00D94A7C" w:rsidRDefault="00D94A7C">
            <w:r>
              <w:t>Deductible</w:t>
            </w:r>
          </w:p>
          <w:p w:rsidR="00D94A7C" w:rsidRDefault="00D94A7C" w:rsidP="00413CE6">
            <w:r>
              <w:t>$500.00</w:t>
            </w:r>
          </w:p>
        </w:tc>
        <w:tc>
          <w:tcPr>
            <w:tcW w:w="1915" w:type="dxa"/>
          </w:tcPr>
          <w:p w:rsidR="00D94A7C" w:rsidRDefault="00D94A7C">
            <w:r>
              <w:t>1 million</w:t>
            </w:r>
          </w:p>
          <w:p w:rsidR="00D94A7C" w:rsidRDefault="00D94A7C">
            <w:r>
              <w:t>Deductible</w:t>
            </w:r>
          </w:p>
          <w:p w:rsidR="00D94A7C" w:rsidRDefault="00D94A7C">
            <w:r>
              <w:t>$2500.00</w:t>
            </w:r>
          </w:p>
        </w:tc>
        <w:tc>
          <w:tcPr>
            <w:tcW w:w="1915" w:type="dxa"/>
          </w:tcPr>
          <w:p w:rsidR="00D94A7C" w:rsidRDefault="00D94A7C"/>
          <w:p w:rsidR="00D94A7C" w:rsidRDefault="00D94A7C"/>
        </w:tc>
        <w:tc>
          <w:tcPr>
            <w:tcW w:w="1916" w:type="dxa"/>
          </w:tcPr>
          <w:p w:rsidR="00D94A7C" w:rsidRDefault="00D94A7C">
            <w:r>
              <w:t>$1325.00</w:t>
            </w:r>
          </w:p>
        </w:tc>
      </w:tr>
      <w:tr w:rsidR="00D94A7C" w:rsidTr="007D6731">
        <w:trPr>
          <w:trHeight w:val="974"/>
        </w:trPr>
        <w:tc>
          <w:tcPr>
            <w:tcW w:w="1915" w:type="dxa"/>
          </w:tcPr>
          <w:p w:rsidR="00D94A7C" w:rsidRDefault="00D94A7C" w:rsidP="000256D9">
            <w:r>
              <w:t xml:space="preserve">Ace   </w:t>
            </w:r>
          </w:p>
        </w:tc>
        <w:tc>
          <w:tcPr>
            <w:tcW w:w="1915" w:type="dxa"/>
          </w:tcPr>
          <w:p w:rsidR="00D94A7C" w:rsidRDefault="00D94A7C" w:rsidP="000256D9">
            <w:r>
              <w:t>1 million</w:t>
            </w:r>
          </w:p>
          <w:p w:rsidR="00D94A7C" w:rsidRDefault="00D94A7C" w:rsidP="000256D9">
            <w:r>
              <w:t>Deductible</w:t>
            </w:r>
          </w:p>
          <w:p w:rsidR="00D94A7C" w:rsidRDefault="00D94A7C" w:rsidP="000256D9">
            <w:r>
              <w:t>$500.00</w:t>
            </w:r>
          </w:p>
        </w:tc>
        <w:tc>
          <w:tcPr>
            <w:tcW w:w="1915" w:type="dxa"/>
          </w:tcPr>
          <w:p w:rsidR="00D94A7C" w:rsidRDefault="00D94A7C" w:rsidP="000256D9">
            <w:r>
              <w:t>None</w:t>
            </w:r>
          </w:p>
        </w:tc>
        <w:tc>
          <w:tcPr>
            <w:tcW w:w="1915" w:type="dxa"/>
          </w:tcPr>
          <w:p w:rsidR="00D94A7C" w:rsidRDefault="00D94A7C" w:rsidP="000256D9"/>
          <w:p w:rsidR="00D94A7C" w:rsidRDefault="00D94A7C" w:rsidP="000256D9"/>
        </w:tc>
        <w:tc>
          <w:tcPr>
            <w:tcW w:w="1916" w:type="dxa"/>
          </w:tcPr>
          <w:p w:rsidR="00D94A7C" w:rsidRDefault="00D94A7C" w:rsidP="000256D9">
            <w:r>
              <w:t>$1100.00</w:t>
            </w:r>
          </w:p>
        </w:tc>
      </w:tr>
    </w:tbl>
    <w:p w:rsidR="00DC4A68" w:rsidRDefault="00DC4A68"/>
    <w:p w:rsidR="003C77A9" w:rsidRDefault="00C44632" w:rsidP="003C77A9">
      <w:r>
        <w:t>Of Note:</w:t>
      </w:r>
      <w:r w:rsidR="003C77A9" w:rsidRPr="003C77A9">
        <w:t xml:space="preserve"> </w:t>
      </w:r>
      <w:r w:rsidR="003C77A9">
        <w:t>All the quotes include worldwide coverage for ICPAN,Inc., but if one of the “satellite countries “ or members incorporate on their own as part of ICPAN,Inc. then they would have to get their own insurance. I don’t believe this will happen but if so then this is the info I received.</w:t>
      </w:r>
    </w:p>
    <w:p w:rsidR="003C77A9" w:rsidRDefault="003C77A9" w:rsidP="003C77A9"/>
    <w:p w:rsidR="00C44632" w:rsidRDefault="00B95B02">
      <w:r w:rsidRPr="00965D76">
        <w:rPr>
          <w:rFonts w:ascii="Calibri" w:hAnsi="Calibri"/>
          <w:shd w:val="clear" w:color="auto" w:fill="FFFFFF"/>
        </w:rPr>
        <w:t>G</w:t>
      </w:r>
      <w:r w:rsidR="00965D76" w:rsidRPr="00965D76">
        <w:rPr>
          <w:rFonts w:ascii="Calibri" w:hAnsi="Calibri"/>
          <w:shd w:val="clear" w:color="auto" w:fill="FFFFFF"/>
        </w:rPr>
        <w:t>r</w:t>
      </w:r>
      <w:r w:rsidRPr="00965D76">
        <w:rPr>
          <w:rFonts w:ascii="Calibri" w:hAnsi="Calibri"/>
          <w:shd w:val="clear" w:color="auto" w:fill="FFFFFF"/>
        </w:rPr>
        <w:t xml:space="preserve">eat American </w:t>
      </w:r>
      <w:r w:rsidR="00965D76" w:rsidRPr="00965D76">
        <w:rPr>
          <w:rFonts w:ascii="Calibri" w:hAnsi="Calibri"/>
          <w:shd w:val="clear" w:color="auto" w:fill="FFFFFF"/>
        </w:rPr>
        <w:t xml:space="preserve">Insurance Company will not sell D&amp;O Insurance separately. </w:t>
      </w:r>
      <w:r w:rsidRPr="00965D76">
        <w:rPr>
          <w:rFonts w:ascii="Calibri" w:hAnsi="Calibri"/>
          <w:shd w:val="clear" w:color="auto" w:fill="FFFFFF"/>
        </w:rPr>
        <w:t>If there was a claim against the Directors and Officers you would have up to $1,000,000 and if there was a claim in the same year</w:t>
      </w:r>
      <w:r>
        <w:rPr>
          <w:rFonts w:ascii="Calibri" w:hAnsi="Calibri"/>
          <w:color w:val="1F497D"/>
          <w:shd w:val="clear" w:color="auto" w:fill="FFFFFF"/>
        </w:rPr>
        <w:t xml:space="preserve"> </w:t>
      </w:r>
      <w:r w:rsidRPr="00965D76">
        <w:rPr>
          <w:rFonts w:ascii="Calibri" w:hAnsi="Calibri"/>
          <w:shd w:val="clear" w:color="auto" w:fill="FFFFFF"/>
        </w:rPr>
        <w:lastRenderedPageBreak/>
        <w:t>regarding a terminated individual, you would have up to $1,000,000 in coverage if you chose to go with separate limits.</w:t>
      </w:r>
    </w:p>
    <w:p w:rsidR="00C44632" w:rsidRPr="00EB3698" w:rsidRDefault="00C44632"/>
    <w:p w:rsidR="00EB3698" w:rsidRDefault="00EB3698" w:rsidP="00EB3698">
      <w:pPr>
        <w:pStyle w:val="NormalWeb"/>
        <w:shd w:val="clear" w:color="auto" w:fill="FFFFFF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Notes from the Anderson </w:t>
      </w:r>
      <w:proofErr w:type="gramStart"/>
      <w:r>
        <w:rPr>
          <w:rFonts w:ascii="Calibri" w:hAnsi="Calibri"/>
          <w:sz w:val="22"/>
          <w:szCs w:val="22"/>
        </w:rPr>
        <w:t>Group :</w:t>
      </w:r>
      <w:proofErr w:type="gramEnd"/>
      <w:r>
        <w:rPr>
          <w:rFonts w:ascii="Calibri" w:hAnsi="Calibri"/>
          <w:sz w:val="22"/>
          <w:szCs w:val="22"/>
        </w:rPr>
        <w:t xml:space="preserve"> Hartford Insurance Agencies and Ace Insurance Agencies</w:t>
      </w:r>
    </w:p>
    <w:p w:rsidR="00EB3698" w:rsidRPr="00EB3698" w:rsidRDefault="00EB3698" w:rsidP="00EB3698">
      <w:pPr>
        <w:pStyle w:val="NormalWeb"/>
        <w:shd w:val="clear" w:color="auto" w:fill="FFFFFF"/>
      </w:pPr>
      <w:r w:rsidRPr="00EB3698">
        <w:rPr>
          <w:rFonts w:ascii="Calibri" w:hAnsi="Calibri"/>
          <w:sz w:val="22"/>
          <w:szCs w:val="22"/>
        </w:rPr>
        <w:t>1.</w:t>
      </w:r>
      <w:r w:rsidRPr="00EB3698">
        <w:rPr>
          <w:sz w:val="14"/>
          <w:szCs w:val="14"/>
        </w:rPr>
        <w:t>      </w:t>
      </w:r>
      <w:r w:rsidRPr="00EB3698">
        <w:rPr>
          <w:rStyle w:val="apple-converted-space"/>
          <w:sz w:val="14"/>
          <w:szCs w:val="14"/>
        </w:rPr>
        <w:t> </w:t>
      </w:r>
      <w:r w:rsidRPr="00EB3698">
        <w:rPr>
          <w:rFonts w:ascii="Calibri" w:hAnsi="Calibri"/>
          <w:sz w:val="22"/>
          <w:szCs w:val="22"/>
        </w:rPr>
        <w:t>The limits of insurance for these policies work in the following manner. There is a $1,000,000 each claim limit. This means that any claim you sustain during the policy period is covered up to $1,000,000. The aggregate limit is the total $ amount of claims you can have in a policy period. For example, you could have claim #1 with a $250,000 amount on it and claim #2 with a $500,000 amount on it and both claims would be covered under the policy. They each are less than the $1,000,000 each claim limit and they both add up to less than the $1,000,000 aggregate limit. Consequently, if you had a situation where claim #1 was $250,000 again but claim #2 was $900,000 the $900,000 claim would meet the each claim limit part of the policy but it would cause you to exceed the $1,000,000 aggregate and the additional amount above $1,000,000 ($150,000) would be the responsibility of the organization to be paid out of its own assets. Each time the policy renews these limits reset so it is not a “lifetime” limit but one that applies to each policy period.</w:t>
      </w:r>
    </w:p>
    <w:p w:rsidR="00EB3698" w:rsidRPr="00EB3698" w:rsidRDefault="00EB3698" w:rsidP="00EB3698">
      <w:pPr>
        <w:pStyle w:val="NormalWeb"/>
        <w:shd w:val="clear" w:color="auto" w:fill="FFFFFF"/>
      </w:pPr>
      <w:r w:rsidRPr="00EB3698">
        <w:rPr>
          <w:rFonts w:ascii="Calibri" w:hAnsi="Calibri"/>
          <w:sz w:val="22"/>
          <w:szCs w:val="22"/>
        </w:rPr>
        <w:t>2.</w:t>
      </w:r>
      <w:r w:rsidRPr="00EB3698">
        <w:rPr>
          <w:sz w:val="14"/>
          <w:szCs w:val="14"/>
        </w:rPr>
        <w:t>      </w:t>
      </w:r>
      <w:r w:rsidRPr="00EB3698">
        <w:rPr>
          <w:rStyle w:val="apple-converted-space"/>
          <w:sz w:val="14"/>
          <w:szCs w:val="14"/>
        </w:rPr>
        <w:t> </w:t>
      </w:r>
      <w:r w:rsidRPr="00EB3698">
        <w:rPr>
          <w:rFonts w:ascii="Calibri" w:hAnsi="Calibri"/>
          <w:sz w:val="22"/>
          <w:szCs w:val="22"/>
        </w:rPr>
        <w:t>A separate limit of insurance means that there is a dedicated $1,000,000 limit for D&amp;O related claims and a dedicated $1,000,000 limit for Employment Practices claims. A separate limit is a more favorable option as it is providing separate and distinct limits of insurance for each potential claim scenario. A shared limit is where you have one limit of insurance that applies to both types of claims.</w:t>
      </w:r>
    </w:p>
    <w:p w:rsidR="00EB3698" w:rsidRPr="00EB3698" w:rsidRDefault="00EB3698"/>
    <w:p w:rsidR="00267B6D" w:rsidRPr="00EB3698" w:rsidRDefault="00267B6D"/>
    <w:p w:rsidR="00206613" w:rsidRPr="00EB3698" w:rsidRDefault="00206613"/>
    <w:p w:rsidR="000256D9" w:rsidRDefault="000256D9"/>
    <w:sectPr w:rsidR="000256D9" w:rsidSect="00843061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D6D" w:rsidRDefault="00D75D6D" w:rsidP="00965D76">
      <w:r>
        <w:separator/>
      </w:r>
    </w:p>
  </w:endnote>
  <w:endnote w:type="continuationSeparator" w:id="0">
    <w:p w:rsidR="00D75D6D" w:rsidRDefault="00D75D6D" w:rsidP="0096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D76" w:rsidRDefault="00965D76">
    <w:pPr>
      <w:pStyle w:val="Footer"/>
    </w:pPr>
    <w:r>
      <w:t>Oct. 27, 2015</w:t>
    </w:r>
    <w:r>
      <w:ptab w:relativeTo="margin" w:alignment="center" w:leader="none"/>
    </w:r>
    <w:r>
      <w:t>Protection Liability Insurance</w:t>
    </w:r>
    <w:r>
      <w:ptab w:relativeTo="margin" w:alignment="right" w:leader="none"/>
    </w:r>
    <w:r>
      <w:t>BOD</w:t>
    </w:r>
  </w:p>
  <w:p w:rsidR="00965D76" w:rsidRDefault="00965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D6D" w:rsidRDefault="00D75D6D" w:rsidP="00965D76">
      <w:r>
        <w:separator/>
      </w:r>
    </w:p>
  </w:footnote>
  <w:footnote w:type="continuationSeparator" w:id="0">
    <w:p w:rsidR="00D75D6D" w:rsidRDefault="00D75D6D" w:rsidP="00965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13"/>
    <w:rsid w:val="00015330"/>
    <w:rsid w:val="000256D9"/>
    <w:rsid w:val="00042602"/>
    <w:rsid w:val="00062D65"/>
    <w:rsid w:val="00082636"/>
    <w:rsid w:val="001F4959"/>
    <w:rsid w:val="00205035"/>
    <w:rsid w:val="00206613"/>
    <w:rsid w:val="00267B6D"/>
    <w:rsid w:val="00360912"/>
    <w:rsid w:val="003C77A9"/>
    <w:rsid w:val="00413CE6"/>
    <w:rsid w:val="00462FE3"/>
    <w:rsid w:val="005E1B38"/>
    <w:rsid w:val="00655770"/>
    <w:rsid w:val="00684F2C"/>
    <w:rsid w:val="00720ED5"/>
    <w:rsid w:val="007569A4"/>
    <w:rsid w:val="007D6731"/>
    <w:rsid w:val="00801D44"/>
    <w:rsid w:val="00843061"/>
    <w:rsid w:val="0087788D"/>
    <w:rsid w:val="008E6FF5"/>
    <w:rsid w:val="00940B3A"/>
    <w:rsid w:val="00965D76"/>
    <w:rsid w:val="00A94F88"/>
    <w:rsid w:val="00AA2751"/>
    <w:rsid w:val="00B01034"/>
    <w:rsid w:val="00B95B02"/>
    <w:rsid w:val="00C44632"/>
    <w:rsid w:val="00C71119"/>
    <w:rsid w:val="00D75D6D"/>
    <w:rsid w:val="00D94A7C"/>
    <w:rsid w:val="00DC4A68"/>
    <w:rsid w:val="00EB3698"/>
    <w:rsid w:val="00F147C5"/>
    <w:rsid w:val="00F8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28DDF5-54B0-4CE4-AEBA-0278FDF81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71119"/>
    <w:pPr>
      <w:tabs>
        <w:tab w:val="decimal" w:pos="360"/>
      </w:tabs>
      <w:spacing w:after="200" w:line="276" w:lineRule="auto"/>
    </w:pPr>
    <w:rPr>
      <w:rFonts w:eastAsiaTheme="minorEastAsia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C71119"/>
    <w:rPr>
      <w:rFonts w:eastAsiaTheme="minorEastAsia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71119"/>
    <w:rPr>
      <w:rFonts w:eastAsiaTheme="minorEastAsia"/>
      <w:sz w:val="20"/>
      <w:szCs w:val="20"/>
      <w:lang w:val="en-US"/>
    </w:rPr>
  </w:style>
  <w:style w:type="character" w:styleId="SubtleEmphasis">
    <w:name w:val="Subtle Emphasis"/>
    <w:basedOn w:val="DefaultParagraphFont"/>
    <w:uiPriority w:val="19"/>
    <w:qFormat/>
    <w:rsid w:val="00C71119"/>
    <w:rPr>
      <w:rFonts w:eastAsiaTheme="minorEastAsia" w:cstheme="minorBidi"/>
      <w:bCs w:val="0"/>
      <w:i/>
      <w:iCs/>
      <w:color w:val="808080" w:themeColor="text1" w:themeTint="7F"/>
      <w:szCs w:val="22"/>
      <w:lang w:val="en-US"/>
    </w:rPr>
  </w:style>
  <w:style w:type="table" w:customStyle="1" w:styleId="LightShading-Accent11">
    <w:name w:val="Light Shading - Accent 11"/>
    <w:basedOn w:val="TableNormal"/>
    <w:uiPriority w:val="60"/>
    <w:rsid w:val="00C71119"/>
    <w:rPr>
      <w:rFonts w:eastAsiaTheme="minorEastAsia"/>
      <w:color w:val="365F91" w:themeColor="accent1" w:themeShade="BF"/>
      <w:lang w:val="en-US" w:bidi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C71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C4A6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965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5D76"/>
  </w:style>
  <w:style w:type="paragraph" w:styleId="Footer">
    <w:name w:val="footer"/>
    <w:basedOn w:val="Normal"/>
    <w:link w:val="FooterChar"/>
    <w:uiPriority w:val="99"/>
    <w:unhideWhenUsed/>
    <w:rsid w:val="00965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D76"/>
  </w:style>
  <w:style w:type="paragraph" w:styleId="BalloonText">
    <w:name w:val="Balloon Text"/>
    <w:basedOn w:val="Normal"/>
    <w:link w:val="BalloonTextChar"/>
    <w:uiPriority w:val="99"/>
    <w:semiHidden/>
    <w:unhideWhenUsed/>
    <w:rsid w:val="00965D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7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36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converted-space">
    <w:name w:val="apple-converted-space"/>
    <w:basedOn w:val="DefaultParagraphFont"/>
    <w:rsid w:val="00EB3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Joni Brady</cp:lastModifiedBy>
  <cp:revision>2</cp:revision>
  <dcterms:created xsi:type="dcterms:W3CDTF">2015-10-26T13:16:00Z</dcterms:created>
  <dcterms:modified xsi:type="dcterms:W3CDTF">2015-10-26T13:16:00Z</dcterms:modified>
</cp:coreProperties>
</file>