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669" w:type="dxa"/>
        <w:tblLook w:val="0660" w:firstRow="1" w:lastRow="1" w:firstColumn="0" w:lastColumn="0" w:noHBand="1" w:noVBand="1"/>
      </w:tblPr>
      <w:tblGrid>
        <w:gridCol w:w="2523"/>
        <w:gridCol w:w="3689"/>
        <w:gridCol w:w="1742"/>
        <w:gridCol w:w="1715"/>
      </w:tblGrid>
      <w:tr w:rsidR="00B72A4C" w:rsidTr="001D75E2">
        <w:trPr>
          <w:trHeight w:val="343"/>
        </w:trPr>
        <w:tc>
          <w:tcPr>
            <w:tcW w:w="2523" w:type="dxa"/>
            <w:vMerge w:val="restart"/>
          </w:tcPr>
          <w:p w:rsidR="00B72A4C" w:rsidRDefault="00B72A4C" w:rsidP="001D75E2">
            <w:pPr>
              <w:jc w:val="center"/>
            </w:pPr>
          </w:p>
          <w:p w:rsidR="00B72A4C" w:rsidRPr="006F2067" w:rsidRDefault="00B72A4C" w:rsidP="001D75E2">
            <w:pPr>
              <w:jc w:val="center"/>
              <w:rPr>
                <w:sz w:val="20"/>
                <w:szCs w:val="20"/>
              </w:rPr>
            </w:pPr>
            <w:r w:rsidRPr="006F2067">
              <w:rPr>
                <w:sz w:val="20"/>
                <w:szCs w:val="20"/>
              </w:rPr>
              <w:t>International Collaboration of PeriAnaesthesia Nurses</w:t>
            </w:r>
          </w:p>
          <w:p w:rsidR="00B72A4C" w:rsidRPr="006F2067" w:rsidRDefault="00B72A4C" w:rsidP="001D75E2">
            <w:pPr>
              <w:jc w:val="center"/>
              <w:rPr>
                <w:sz w:val="20"/>
                <w:szCs w:val="20"/>
              </w:rPr>
            </w:pPr>
          </w:p>
          <w:p w:rsidR="00B72A4C" w:rsidRPr="006F2067" w:rsidRDefault="00B72A4C" w:rsidP="001D75E2">
            <w:pPr>
              <w:jc w:val="center"/>
              <w:rPr>
                <w:sz w:val="20"/>
                <w:szCs w:val="20"/>
              </w:rPr>
            </w:pPr>
          </w:p>
          <w:p w:rsidR="00B72A4C" w:rsidRDefault="00B72A4C" w:rsidP="001D75E2">
            <w:pPr>
              <w:jc w:val="center"/>
            </w:pPr>
            <w:r w:rsidRPr="006F2067">
              <w:rPr>
                <w:sz w:val="20"/>
                <w:szCs w:val="20"/>
              </w:rPr>
              <w:t>ICPAN</w:t>
            </w:r>
          </w:p>
        </w:tc>
        <w:tc>
          <w:tcPr>
            <w:tcW w:w="3689" w:type="dxa"/>
          </w:tcPr>
          <w:p w:rsidR="00B72A4C" w:rsidRPr="006F2067" w:rsidRDefault="00B72A4C" w:rsidP="001D75E2">
            <w:pPr>
              <w:rPr>
                <w:sz w:val="20"/>
                <w:szCs w:val="20"/>
              </w:rPr>
            </w:pPr>
            <w:r w:rsidRPr="006F2067">
              <w:rPr>
                <w:sz w:val="20"/>
                <w:szCs w:val="20"/>
              </w:rPr>
              <w:t xml:space="preserve">Title: Job Description: </w:t>
            </w:r>
            <w:r>
              <w:rPr>
                <w:sz w:val="20"/>
                <w:szCs w:val="20"/>
              </w:rPr>
              <w:t>Treasurer</w:t>
            </w:r>
          </w:p>
        </w:tc>
        <w:tc>
          <w:tcPr>
            <w:tcW w:w="1742" w:type="dxa"/>
          </w:tcPr>
          <w:p w:rsidR="00B72A4C" w:rsidRDefault="00B72A4C" w:rsidP="001D75E2">
            <w:r>
              <w:t>No.</w:t>
            </w:r>
          </w:p>
        </w:tc>
        <w:tc>
          <w:tcPr>
            <w:tcW w:w="1715" w:type="dxa"/>
          </w:tcPr>
          <w:p w:rsidR="00B72A4C" w:rsidRDefault="00B72A4C" w:rsidP="001D75E2">
            <w:r>
              <w:t>Page 1 of 2</w:t>
            </w:r>
          </w:p>
        </w:tc>
      </w:tr>
      <w:tr w:rsidR="00B72A4C" w:rsidTr="001D75E2">
        <w:trPr>
          <w:trHeight w:val="535"/>
        </w:trPr>
        <w:tc>
          <w:tcPr>
            <w:tcW w:w="2523" w:type="dxa"/>
            <w:vMerge/>
          </w:tcPr>
          <w:p w:rsidR="00B72A4C" w:rsidRDefault="00B72A4C" w:rsidP="001D75E2">
            <w:pPr>
              <w:jc w:val="center"/>
            </w:pPr>
          </w:p>
        </w:tc>
        <w:tc>
          <w:tcPr>
            <w:tcW w:w="3689" w:type="dxa"/>
          </w:tcPr>
          <w:p w:rsidR="00B72A4C" w:rsidRPr="006F2067" w:rsidRDefault="00B72A4C" w:rsidP="001D75E2">
            <w:pPr>
              <w:rPr>
                <w:sz w:val="20"/>
                <w:szCs w:val="20"/>
              </w:rPr>
            </w:pPr>
            <w:r>
              <w:rPr>
                <w:sz w:val="20"/>
                <w:szCs w:val="20"/>
              </w:rPr>
              <w:t>Approved B</w:t>
            </w:r>
            <w:r w:rsidRPr="006F2067">
              <w:rPr>
                <w:sz w:val="20"/>
                <w:szCs w:val="20"/>
              </w:rPr>
              <w:t xml:space="preserve">y </w:t>
            </w:r>
            <w:r>
              <w:rPr>
                <w:sz w:val="20"/>
                <w:szCs w:val="20"/>
              </w:rPr>
              <w:t xml:space="preserve">: </w:t>
            </w:r>
            <w:r w:rsidRPr="006F2067">
              <w:rPr>
                <w:sz w:val="20"/>
                <w:szCs w:val="20"/>
              </w:rPr>
              <w:t>ICPAN Board of Directors</w:t>
            </w:r>
          </w:p>
        </w:tc>
        <w:tc>
          <w:tcPr>
            <w:tcW w:w="3457" w:type="dxa"/>
            <w:gridSpan w:val="2"/>
            <w:vMerge w:val="restart"/>
          </w:tcPr>
          <w:p w:rsidR="00B72A4C" w:rsidRDefault="00B72A4C" w:rsidP="001D75E2">
            <w:r>
              <w:t>Last Reviewed:</w:t>
            </w:r>
          </w:p>
          <w:p w:rsidR="00B72A4C" w:rsidRDefault="00B72A4C" w:rsidP="001D75E2">
            <w:r>
              <w:t>Not Applicable</w:t>
            </w:r>
          </w:p>
        </w:tc>
      </w:tr>
      <w:tr w:rsidR="00B72A4C" w:rsidTr="001D75E2">
        <w:trPr>
          <w:trHeight w:val="425"/>
        </w:trPr>
        <w:tc>
          <w:tcPr>
            <w:tcW w:w="2523" w:type="dxa"/>
            <w:vMerge/>
          </w:tcPr>
          <w:p w:rsidR="00B72A4C" w:rsidRDefault="00B72A4C" w:rsidP="001D75E2">
            <w:pPr>
              <w:jc w:val="center"/>
            </w:pPr>
          </w:p>
        </w:tc>
        <w:tc>
          <w:tcPr>
            <w:tcW w:w="3689" w:type="dxa"/>
          </w:tcPr>
          <w:p w:rsidR="00B72A4C" w:rsidRPr="006F2067" w:rsidRDefault="00B72A4C" w:rsidP="001D75E2">
            <w:pPr>
              <w:rPr>
                <w:sz w:val="20"/>
                <w:szCs w:val="20"/>
              </w:rPr>
            </w:pPr>
            <w:r w:rsidRPr="006F2067">
              <w:rPr>
                <w:sz w:val="20"/>
                <w:szCs w:val="20"/>
              </w:rPr>
              <w:t>Effective Date:</w:t>
            </w:r>
          </w:p>
        </w:tc>
        <w:tc>
          <w:tcPr>
            <w:tcW w:w="3457" w:type="dxa"/>
            <w:gridSpan w:val="2"/>
            <w:vMerge/>
          </w:tcPr>
          <w:p w:rsidR="00B72A4C" w:rsidRDefault="00B72A4C" w:rsidP="001D75E2"/>
        </w:tc>
      </w:tr>
      <w:tr w:rsidR="00B72A4C" w:rsidTr="001D75E2">
        <w:trPr>
          <w:trHeight w:val="878"/>
        </w:trPr>
        <w:tc>
          <w:tcPr>
            <w:tcW w:w="2523" w:type="dxa"/>
            <w:vMerge/>
          </w:tcPr>
          <w:p w:rsidR="00B72A4C" w:rsidRDefault="00B72A4C" w:rsidP="001D75E2">
            <w:pPr>
              <w:jc w:val="center"/>
            </w:pPr>
          </w:p>
        </w:tc>
        <w:tc>
          <w:tcPr>
            <w:tcW w:w="3689" w:type="dxa"/>
          </w:tcPr>
          <w:p w:rsidR="00B72A4C" w:rsidRPr="006F2067" w:rsidRDefault="00B72A4C" w:rsidP="001D75E2">
            <w:pPr>
              <w:rPr>
                <w:sz w:val="20"/>
                <w:szCs w:val="20"/>
              </w:rPr>
            </w:pPr>
            <w:r w:rsidRPr="006F2067">
              <w:rPr>
                <w:sz w:val="20"/>
                <w:szCs w:val="20"/>
              </w:rPr>
              <w:t>Originated By:</w:t>
            </w:r>
          </w:p>
          <w:p w:rsidR="00B72A4C" w:rsidRPr="00D15EB5" w:rsidRDefault="00B72A4C" w:rsidP="001D75E2">
            <w:r w:rsidRPr="006F2067">
              <w:rPr>
                <w:sz w:val="20"/>
                <w:szCs w:val="20"/>
              </w:rPr>
              <w:t>Board of Directors, 2016</w:t>
            </w:r>
          </w:p>
        </w:tc>
        <w:tc>
          <w:tcPr>
            <w:tcW w:w="3457" w:type="dxa"/>
            <w:gridSpan w:val="2"/>
            <w:vMerge/>
          </w:tcPr>
          <w:p w:rsidR="00B72A4C" w:rsidRDefault="00B72A4C" w:rsidP="001D75E2"/>
        </w:tc>
      </w:tr>
    </w:tbl>
    <w:p w:rsidR="00B72A4C" w:rsidRDefault="00B72A4C" w:rsidP="00B72A4C"/>
    <w:p w:rsidR="00B72A4C" w:rsidRPr="005519E9" w:rsidRDefault="00B72A4C" w:rsidP="00B72A4C">
      <w:pPr>
        <w:rPr>
          <w:b/>
          <w:u w:val="single"/>
        </w:rPr>
      </w:pPr>
      <w:r w:rsidRPr="005519E9">
        <w:rPr>
          <w:b/>
          <w:u w:val="single"/>
        </w:rPr>
        <w:t>Definitions:</w:t>
      </w:r>
    </w:p>
    <w:p w:rsidR="00B72A4C" w:rsidRDefault="00B72A4C" w:rsidP="00B72A4C"/>
    <w:p w:rsidR="00B72A4C" w:rsidRDefault="00721C63" w:rsidP="00B72A4C">
      <w:r w:rsidRPr="00387249">
        <w:rPr>
          <w:b/>
        </w:rPr>
        <w:t>Biennial General Meeting</w:t>
      </w:r>
      <w:r w:rsidR="00121DFF" w:rsidRPr="00387249">
        <w:rPr>
          <w:b/>
        </w:rPr>
        <w:t xml:space="preserve"> (B</w:t>
      </w:r>
      <w:r w:rsidR="002A65A4">
        <w:rPr>
          <w:b/>
        </w:rPr>
        <w:t>G</w:t>
      </w:r>
      <w:r w:rsidR="00121DFF" w:rsidRPr="00387249">
        <w:rPr>
          <w:b/>
        </w:rPr>
        <w:t>M)</w:t>
      </w:r>
      <w:r w:rsidRPr="00387249">
        <w:rPr>
          <w:b/>
        </w:rPr>
        <w:t>:</w:t>
      </w:r>
      <w:r w:rsidR="002A65A4">
        <w:rPr>
          <w:b/>
        </w:rPr>
        <w:t xml:space="preserve"> </w:t>
      </w:r>
      <w:r w:rsidR="00121DFF">
        <w:t>The BG</w:t>
      </w:r>
      <w:r w:rsidR="002A65A4">
        <w:t>M</w:t>
      </w:r>
      <w:r w:rsidR="00121DFF">
        <w:t xml:space="preserve"> is the meeting of the general membership to conduct the business on behalf of the co</w:t>
      </w:r>
      <w:r w:rsidR="00387249">
        <w:t>rporation</w:t>
      </w:r>
      <w:r w:rsidR="00121DFF">
        <w:t xml:space="preserve">. The BMG is held in conjunction with the biennial conference. </w:t>
      </w:r>
    </w:p>
    <w:p w:rsidR="002A65A4" w:rsidRDefault="002A65A4" w:rsidP="00B72A4C">
      <w:pPr>
        <w:rPr>
          <w:b/>
        </w:rPr>
      </w:pPr>
    </w:p>
    <w:p w:rsidR="00B72A4C" w:rsidRPr="00721C63" w:rsidRDefault="00721C63" w:rsidP="00B72A4C">
      <w:proofErr w:type="spellStart"/>
      <w:r w:rsidRPr="00387249">
        <w:rPr>
          <w:b/>
        </w:rPr>
        <w:t>Hurwit</w:t>
      </w:r>
      <w:proofErr w:type="spellEnd"/>
      <w:r w:rsidRPr="00387249">
        <w:rPr>
          <w:b/>
        </w:rPr>
        <w:t>:</w:t>
      </w:r>
      <w:r>
        <w:t xml:space="preserve"> </w:t>
      </w:r>
      <w:proofErr w:type="spellStart"/>
      <w:r>
        <w:t>Hurwit</w:t>
      </w:r>
      <w:proofErr w:type="spellEnd"/>
      <w:r>
        <w:t xml:space="preserve"> and Associates, Legal Counsel for Philanthropy and the </w:t>
      </w:r>
      <w:proofErr w:type="spellStart"/>
      <w:r>
        <w:t>Nonprofit</w:t>
      </w:r>
      <w:proofErr w:type="spellEnd"/>
      <w:r>
        <w:t xml:space="preserve"> Sector</w:t>
      </w:r>
      <w:r w:rsidR="00121DFF">
        <w:t>, are the representatives in the United States of America for the International Collaboration of PeriAnaesthesia Nurses, Incorporated (ICPAN, Inc.)</w:t>
      </w:r>
    </w:p>
    <w:p w:rsidR="002A65A4" w:rsidRDefault="002A65A4" w:rsidP="00B72A4C">
      <w:pPr>
        <w:rPr>
          <w:b/>
        </w:rPr>
      </w:pPr>
    </w:p>
    <w:p w:rsidR="00721C63" w:rsidRPr="005519E9" w:rsidRDefault="002A65A4" w:rsidP="002A65A4">
      <w:pPr>
        <w:ind w:left="720" w:hanging="720"/>
      </w:pPr>
      <w:r w:rsidRPr="002A65A4">
        <w:rPr>
          <w:b/>
        </w:rPr>
        <w:t>Internal Revenue Service</w:t>
      </w:r>
      <w:r>
        <w:t xml:space="preserve"> </w:t>
      </w:r>
      <w:r>
        <w:t>(</w:t>
      </w:r>
      <w:r w:rsidR="005519E9" w:rsidRPr="00387249">
        <w:rPr>
          <w:b/>
        </w:rPr>
        <w:t>IRS</w:t>
      </w:r>
      <w:r>
        <w:rPr>
          <w:b/>
        </w:rPr>
        <w:t xml:space="preserve">): </w:t>
      </w:r>
      <w:r w:rsidRPr="002A65A4">
        <w:t xml:space="preserve">The </w:t>
      </w:r>
      <w:r w:rsidR="005519E9" w:rsidRPr="005519E9">
        <w:t>IRS</w:t>
      </w:r>
      <w:r w:rsidR="00387249">
        <w:t xml:space="preserve"> is the United States of America government agency responsible for tax collection and law enforcement.</w:t>
      </w:r>
    </w:p>
    <w:p w:rsidR="005519E9" w:rsidRPr="005519E9" w:rsidRDefault="005519E9" w:rsidP="00B72A4C"/>
    <w:p w:rsidR="00B72A4C" w:rsidRPr="005519E9" w:rsidRDefault="00B72A4C" w:rsidP="00B72A4C">
      <w:pPr>
        <w:rPr>
          <w:b/>
          <w:u w:val="single"/>
        </w:rPr>
      </w:pPr>
      <w:r w:rsidRPr="005519E9">
        <w:rPr>
          <w:b/>
          <w:u w:val="single"/>
        </w:rPr>
        <w:t>Purpose</w:t>
      </w:r>
      <w:r w:rsidR="005519E9">
        <w:rPr>
          <w:b/>
          <w:u w:val="single"/>
        </w:rPr>
        <w:t>:</w:t>
      </w:r>
    </w:p>
    <w:p w:rsidR="005519E9" w:rsidRPr="00956625" w:rsidRDefault="005519E9" w:rsidP="00B72A4C">
      <w:pPr>
        <w:rPr>
          <w:b/>
        </w:rPr>
      </w:pPr>
    </w:p>
    <w:p w:rsidR="00B72A4C" w:rsidRDefault="00B72A4C" w:rsidP="00B72A4C">
      <w:r>
        <w:t>To oversee the financial administration of ICPAN, Inc.</w:t>
      </w:r>
    </w:p>
    <w:p w:rsidR="00B72A4C" w:rsidRDefault="00B72A4C" w:rsidP="00B72A4C"/>
    <w:p w:rsidR="00B72A4C" w:rsidRPr="005519E9" w:rsidRDefault="00B72A4C" w:rsidP="00B72A4C">
      <w:pPr>
        <w:rPr>
          <w:b/>
          <w:u w:val="single"/>
        </w:rPr>
      </w:pPr>
      <w:r w:rsidRPr="005519E9">
        <w:rPr>
          <w:b/>
          <w:u w:val="single"/>
        </w:rPr>
        <w:t>Responsibilities</w:t>
      </w:r>
      <w:r w:rsidR="005519E9">
        <w:rPr>
          <w:b/>
          <w:u w:val="single"/>
        </w:rPr>
        <w:t>:</w:t>
      </w:r>
    </w:p>
    <w:p w:rsidR="00B72A4C" w:rsidRDefault="00B72A4C" w:rsidP="00B72A4C"/>
    <w:p w:rsidR="00B72A4C" w:rsidRPr="00D8549B" w:rsidRDefault="00B72A4C" w:rsidP="00B72A4C">
      <w:pPr>
        <w:pStyle w:val="ListParagraph"/>
        <w:numPr>
          <w:ilvl w:val="0"/>
          <w:numId w:val="2"/>
        </w:numPr>
        <w:rPr>
          <w:rFonts w:cs="Helvetica"/>
          <w:sz w:val="22"/>
          <w:szCs w:val="22"/>
        </w:rPr>
      </w:pPr>
      <w:r w:rsidRPr="00D8549B">
        <w:rPr>
          <w:rFonts w:cs="Helvetica"/>
          <w:sz w:val="22"/>
          <w:szCs w:val="22"/>
        </w:rPr>
        <w:t xml:space="preserve">Attend Board meetings (online) </w:t>
      </w:r>
    </w:p>
    <w:p w:rsidR="00B72A4C" w:rsidRPr="00D8549B" w:rsidRDefault="00B72A4C" w:rsidP="00B72A4C">
      <w:pPr>
        <w:pStyle w:val="ListParagraph"/>
        <w:numPr>
          <w:ilvl w:val="0"/>
          <w:numId w:val="2"/>
        </w:numPr>
        <w:rPr>
          <w:rFonts w:cs="Helvetica"/>
          <w:sz w:val="22"/>
          <w:szCs w:val="22"/>
        </w:rPr>
      </w:pPr>
      <w:r w:rsidRPr="00D8549B">
        <w:rPr>
          <w:rFonts w:cs="Helvetica"/>
          <w:sz w:val="22"/>
          <w:szCs w:val="22"/>
        </w:rPr>
        <w:t xml:space="preserve">Prepare and present treasurer report monthly to the </w:t>
      </w:r>
      <w:r w:rsidR="00721C63">
        <w:rPr>
          <w:rFonts w:cs="Helvetica"/>
          <w:sz w:val="22"/>
          <w:szCs w:val="22"/>
        </w:rPr>
        <w:t>B</w:t>
      </w:r>
      <w:r w:rsidRPr="00D8549B">
        <w:rPr>
          <w:rFonts w:cs="Helvetica"/>
          <w:sz w:val="22"/>
          <w:szCs w:val="22"/>
        </w:rPr>
        <w:t>oard including reconciliation each month of each account with the relevant bank statement in respect of the preceding month.</w:t>
      </w:r>
    </w:p>
    <w:p w:rsidR="00B72A4C" w:rsidRPr="00D8549B" w:rsidRDefault="00B72A4C" w:rsidP="00B72A4C">
      <w:pPr>
        <w:pStyle w:val="ListParagraph"/>
        <w:numPr>
          <w:ilvl w:val="0"/>
          <w:numId w:val="2"/>
        </w:numPr>
        <w:rPr>
          <w:rFonts w:cs="Helvetica"/>
          <w:sz w:val="22"/>
          <w:szCs w:val="22"/>
        </w:rPr>
      </w:pPr>
      <w:r w:rsidRPr="00D8549B">
        <w:rPr>
          <w:rFonts w:cs="Helvetica"/>
          <w:sz w:val="22"/>
          <w:szCs w:val="22"/>
        </w:rPr>
        <w:t>Draft an</w:t>
      </w:r>
      <w:r w:rsidR="00721C63">
        <w:rPr>
          <w:rFonts w:cs="Helvetica"/>
          <w:sz w:val="22"/>
          <w:szCs w:val="22"/>
        </w:rPr>
        <w:t>d Present Annual budget to the B</w:t>
      </w:r>
      <w:r w:rsidRPr="00D8549B">
        <w:rPr>
          <w:rFonts w:cs="Helvetica"/>
          <w:sz w:val="22"/>
          <w:szCs w:val="22"/>
        </w:rPr>
        <w:t>oard</w:t>
      </w:r>
    </w:p>
    <w:p w:rsidR="00B72A4C" w:rsidRPr="00D8549B" w:rsidRDefault="00B72A4C" w:rsidP="00B72A4C">
      <w:pPr>
        <w:pStyle w:val="ListParagraph"/>
        <w:numPr>
          <w:ilvl w:val="0"/>
          <w:numId w:val="2"/>
        </w:numPr>
        <w:rPr>
          <w:rFonts w:cs="Helvetica"/>
          <w:sz w:val="22"/>
          <w:szCs w:val="22"/>
        </w:rPr>
      </w:pPr>
      <w:r w:rsidRPr="00D8549B">
        <w:rPr>
          <w:rFonts w:cs="Helvetica"/>
          <w:sz w:val="22"/>
          <w:szCs w:val="22"/>
        </w:rPr>
        <w:t xml:space="preserve">File Bank Statements online </w:t>
      </w:r>
    </w:p>
    <w:p w:rsidR="00B72A4C" w:rsidRPr="00D8549B" w:rsidRDefault="00B72A4C" w:rsidP="00B72A4C">
      <w:pPr>
        <w:pStyle w:val="ListParagraph"/>
        <w:numPr>
          <w:ilvl w:val="0"/>
          <w:numId w:val="2"/>
        </w:numPr>
        <w:rPr>
          <w:rFonts w:cs="Helvetica"/>
          <w:sz w:val="22"/>
          <w:szCs w:val="22"/>
        </w:rPr>
      </w:pPr>
      <w:r w:rsidRPr="00D8549B">
        <w:rPr>
          <w:rFonts w:cs="Helvetica"/>
          <w:sz w:val="22"/>
          <w:szCs w:val="22"/>
        </w:rPr>
        <w:t>Sign negotiable instruments on behalf of ICPAN</w:t>
      </w:r>
      <w:r w:rsidR="002A65A4">
        <w:rPr>
          <w:rFonts w:cs="Helvetica"/>
          <w:sz w:val="22"/>
          <w:szCs w:val="22"/>
        </w:rPr>
        <w:t>, Inc</w:t>
      </w:r>
      <w:r w:rsidRPr="00D8549B">
        <w:rPr>
          <w:rFonts w:cs="Helvetica"/>
          <w:sz w:val="22"/>
          <w:szCs w:val="22"/>
        </w:rPr>
        <w:t>.</w:t>
      </w:r>
    </w:p>
    <w:p w:rsidR="00B72A4C" w:rsidRPr="00D8549B" w:rsidRDefault="00B72A4C" w:rsidP="00B72A4C">
      <w:pPr>
        <w:pStyle w:val="ListParagraph"/>
        <w:numPr>
          <w:ilvl w:val="0"/>
          <w:numId w:val="2"/>
        </w:numPr>
        <w:rPr>
          <w:rFonts w:cs="Helvetica"/>
          <w:sz w:val="22"/>
          <w:szCs w:val="22"/>
        </w:rPr>
      </w:pPr>
      <w:r w:rsidRPr="00D8549B">
        <w:rPr>
          <w:rFonts w:cs="Helvetica"/>
          <w:sz w:val="22"/>
          <w:szCs w:val="22"/>
        </w:rPr>
        <w:t>Bookkeeping</w:t>
      </w:r>
    </w:p>
    <w:p w:rsidR="00B72A4C" w:rsidRPr="00D8549B" w:rsidRDefault="00B72A4C" w:rsidP="00B72A4C">
      <w:pPr>
        <w:pStyle w:val="ListParagraph"/>
        <w:numPr>
          <w:ilvl w:val="0"/>
          <w:numId w:val="1"/>
        </w:numPr>
        <w:rPr>
          <w:rFonts w:cs="Helvetica"/>
          <w:sz w:val="22"/>
          <w:szCs w:val="22"/>
        </w:rPr>
      </w:pPr>
      <w:r w:rsidRPr="00D8549B">
        <w:rPr>
          <w:rFonts w:cs="Helvetica"/>
          <w:sz w:val="22"/>
          <w:szCs w:val="22"/>
        </w:rPr>
        <w:t>Create Budget</w:t>
      </w:r>
    </w:p>
    <w:p w:rsidR="00B72A4C" w:rsidRPr="00D8549B" w:rsidRDefault="00B72A4C" w:rsidP="00B72A4C">
      <w:pPr>
        <w:pStyle w:val="ListParagraph"/>
        <w:numPr>
          <w:ilvl w:val="0"/>
          <w:numId w:val="1"/>
        </w:numPr>
        <w:rPr>
          <w:rFonts w:cs="Helvetica"/>
          <w:sz w:val="22"/>
          <w:szCs w:val="22"/>
        </w:rPr>
      </w:pPr>
      <w:r w:rsidRPr="00D8549B">
        <w:rPr>
          <w:rFonts w:cs="Helvetica"/>
          <w:sz w:val="22"/>
          <w:szCs w:val="22"/>
        </w:rPr>
        <w:t>Keep General Ledger</w:t>
      </w:r>
    </w:p>
    <w:p w:rsidR="00B72A4C" w:rsidRPr="00D8549B" w:rsidRDefault="00B72A4C" w:rsidP="00B72A4C">
      <w:pPr>
        <w:pStyle w:val="ListParagraph"/>
        <w:numPr>
          <w:ilvl w:val="0"/>
          <w:numId w:val="1"/>
        </w:numPr>
        <w:rPr>
          <w:rFonts w:cs="Helvetica"/>
          <w:sz w:val="22"/>
          <w:szCs w:val="22"/>
        </w:rPr>
      </w:pPr>
      <w:r w:rsidRPr="00D8549B">
        <w:rPr>
          <w:rFonts w:cs="Helvetica"/>
          <w:sz w:val="22"/>
          <w:szCs w:val="22"/>
        </w:rPr>
        <w:t>Maintain reporting instruments</w:t>
      </w:r>
    </w:p>
    <w:p w:rsidR="00B72A4C" w:rsidRPr="00D8549B" w:rsidRDefault="00B72A4C" w:rsidP="00B72A4C">
      <w:pPr>
        <w:pStyle w:val="ListParagraph"/>
        <w:numPr>
          <w:ilvl w:val="0"/>
          <w:numId w:val="1"/>
        </w:numPr>
        <w:rPr>
          <w:rFonts w:cs="Helvetica"/>
          <w:sz w:val="22"/>
          <w:szCs w:val="22"/>
        </w:rPr>
      </w:pPr>
      <w:r w:rsidRPr="00D8549B">
        <w:rPr>
          <w:rFonts w:cs="Helvetica"/>
          <w:sz w:val="22"/>
          <w:szCs w:val="22"/>
        </w:rPr>
        <w:t>Check Accounts for accuracy and fraudulent activity</w:t>
      </w:r>
    </w:p>
    <w:p w:rsidR="00B72A4C" w:rsidRPr="00D8549B" w:rsidRDefault="002A65A4" w:rsidP="00B72A4C">
      <w:pPr>
        <w:pStyle w:val="ListParagraph"/>
        <w:numPr>
          <w:ilvl w:val="0"/>
          <w:numId w:val="2"/>
        </w:numPr>
        <w:rPr>
          <w:rFonts w:cs="Helvetica"/>
          <w:sz w:val="22"/>
          <w:szCs w:val="22"/>
        </w:rPr>
      </w:pPr>
      <w:r w:rsidRPr="00D8549B">
        <w:rPr>
          <w:rFonts w:cs="Helvetica"/>
          <w:sz w:val="22"/>
          <w:szCs w:val="22"/>
        </w:rPr>
        <w:t>Make</w:t>
      </w:r>
      <w:r w:rsidRPr="00D8549B">
        <w:rPr>
          <w:rFonts w:cs="Helvetica"/>
          <w:sz w:val="22"/>
          <w:szCs w:val="22"/>
        </w:rPr>
        <w:t xml:space="preserve"> </w:t>
      </w:r>
      <w:r>
        <w:rPr>
          <w:rFonts w:cs="Helvetica"/>
          <w:sz w:val="22"/>
          <w:szCs w:val="22"/>
        </w:rPr>
        <w:t>bank d</w:t>
      </w:r>
      <w:r w:rsidR="00B72A4C" w:rsidRPr="00D8549B">
        <w:rPr>
          <w:rFonts w:cs="Helvetica"/>
          <w:sz w:val="22"/>
          <w:szCs w:val="22"/>
        </w:rPr>
        <w:t>eposits</w:t>
      </w:r>
      <w:r>
        <w:rPr>
          <w:rFonts w:cs="Helvetica"/>
          <w:sz w:val="22"/>
          <w:szCs w:val="22"/>
        </w:rPr>
        <w:t xml:space="preserve"> and</w:t>
      </w:r>
      <w:r w:rsidR="00B72A4C" w:rsidRPr="00D8549B">
        <w:rPr>
          <w:rFonts w:cs="Helvetica"/>
          <w:sz w:val="22"/>
          <w:szCs w:val="22"/>
        </w:rPr>
        <w:t xml:space="preserve"> payments on behalf of ICPAN</w:t>
      </w:r>
      <w:r w:rsidR="00B72A4C">
        <w:rPr>
          <w:rFonts w:cs="Helvetica"/>
          <w:sz w:val="22"/>
          <w:szCs w:val="22"/>
        </w:rPr>
        <w:t>,</w:t>
      </w:r>
      <w:r w:rsidR="00721C63">
        <w:rPr>
          <w:rFonts w:cs="Helvetica"/>
          <w:sz w:val="22"/>
          <w:szCs w:val="22"/>
        </w:rPr>
        <w:t xml:space="preserve"> </w:t>
      </w:r>
      <w:r w:rsidR="00B72A4C">
        <w:rPr>
          <w:rFonts w:cs="Helvetica"/>
          <w:sz w:val="22"/>
          <w:szCs w:val="22"/>
        </w:rPr>
        <w:t>Inc.</w:t>
      </w:r>
    </w:p>
    <w:p w:rsidR="00B72A4C" w:rsidRPr="00D8549B" w:rsidRDefault="00B72A4C" w:rsidP="00B72A4C">
      <w:pPr>
        <w:pStyle w:val="ListParagraph"/>
        <w:numPr>
          <w:ilvl w:val="0"/>
          <w:numId w:val="2"/>
        </w:numPr>
        <w:rPr>
          <w:rFonts w:cs="Helvetica"/>
          <w:sz w:val="22"/>
          <w:szCs w:val="22"/>
        </w:rPr>
      </w:pPr>
      <w:r w:rsidRPr="00D8549B">
        <w:rPr>
          <w:rFonts w:cs="Helvetica"/>
          <w:sz w:val="22"/>
          <w:szCs w:val="22"/>
        </w:rPr>
        <w:t>Issue invoices and receipts</w:t>
      </w:r>
      <w:r w:rsidR="002A65A4">
        <w:rPr>
          <w:rFonts w:cs="Helvetica"/>
          <w:sz w:val="22"/>
          <w:szCs w:val="22"/>
        </w:rPr>
        <w:t>,</w:t>
      </w:r>
      <w:r w:rsidRPr="00D8549B">
        <w:rPr>
          <w:rFonts w:cs="Helvetica"/>
          <w:sz w:val="22"/>
          <w:szCs w:val="22"/>
        </w:rPr>
        <w:t xml:space="preserve"> and reconcile payments.</w:t>
      </w:r>
    </w:p>
    <w:p w:rsidR="00B72A4C" w:rsidRPr="00D8549B" w:rsidRDefault="00B72A4C" w:rsidP="00B72A4C">
      <w:pPr>
        <w:pStyle w:val="ListParagraph"/>
        <w:numPr>
          <w:ilvl w:val="0"/>
          <w:numId w:val="2"/>
        </w:numPr>
        <w:rPr>
          <w:rFonts w:cs="Helvetica"/>
          <w:sz w:val="22"/>
          <w:szCs w:val="22"/>
        </w:rPr>
      </w:pPr>
      <w:r w:rsidRPr="00D8549B">
        <w:rPr>
          <w:rFonts w:cs="Helvetica"/>
          <w:sz w:val="22"/>
          <w:szCs w:val="22"/>
        </w:rPr>
        <w:t xml:space="preserve">Liaise with </w:t>
      </w:r>
      <w:proofErr w:type="spellStart"/>
      <w:r w:rsidRPr="00D8549B">
        <w:rPr>
          <w:rFonts w:cs="Helvetica"/>
          <w:sz w:val="22"/>
          <w:szCs w:val="22"/>
        </w:rPr>
        <w:t>Hurwit</w:t>
      </w:r>
      <w:proofErr w:type="spellEnd"/>
      <w:r w:rsidRPr="00D8549B">
        <w:rPr>
          <w:rFonts w:cs="Helvetica"/>
          <w:sz w:val="22"/>
          <w:szCs w:val="22"/>
        </w:rPr>
        <w:t xml:space="preserve"> and Auditor</w:t>
      </w:r>
    </w:p>
    <w:p w:rsidR="00B72A4C" w:rsidRPr="00D8549B" w:rsidRDefault="00B72A4C" w:rsidP="00B72A4C">
      <w:pPr>
        <w:pStyle w:val="ListParagraph"/>
        <w:numPr>
          <w:ilvl w:val="0"/>
          <w:numId w:val="1"/>
        </w:numPr>
        <w:rPr>
          <w:rFonts w:cs="Helvetica"/>
          <w:sz w:val="22"/>
          <w:szCs w:val="22"/>
        </w:rPr>
      </w:pPr>
      <w:r w:rsidRPr="00D8549B">
        <w:rPr>
          <w:rFonts w:cs="Helvetica"/>
          <w:sz w:val="22"/>
          <w:szCs w:val="22"/>
        </w:rPr>
        <w:t xml:space="preserve">Preparation of the Statements to be submitted pursuant to 501C and IRS. </w:t>
      </w:r>
    </w:p>
    <w:p w:rsidR="00B72A4C" w:rsidRPr="008B2D74" w:rsidRDefault="00B72A4C" w:rsidP="00B72A4C">
      <w:pPr>
        <w:pStyle w:val="ListParagraph"/>
        <w:numPr>
          <w:ilvl w:val="0"/>
          <w:numId w:val="1"/>
        </w:numPr>
        <w:rPr>
          <w:rFonts w:cs="Helvetica"/>
          <w:sz w:val="22"/>
          <w:szCs w:val="22"/>
        </w:rPr>
      </w:pPr>
      <w:r w:rsidRPr="00D8549B">
        <w:rPr>
          <w:rFonts w:cs="Helvetica"/>
          <w:sz w:val="22"/>
          <w:szCs w:val="22"/>
        </w:rPr>
        <w:t>Prepare and sign annual tax return Form 990</w:t>
      </w:r>
    </w:p>
    <w:p w:rsidR="00B72A4C" w:rsidRPr="00D8549B" w:rsidRDefault="00B72A4C" w:rsidP="00B72A4C">
      <w:pPr>
        <w:pStyle w:val="ListParagraph"/>
        <w:numPr>
          <w:ilvl w:val="0"/>
          <w:numId w:val="2"/>
        </w:numPr>
        <w:rPr>
          <w:rFonts w:cs="Helvetica"/>
          <w:sz w:val="22"/>
          <w:szCs w:val="22"/>
        </w:rPr>
      </w:pPr>
      <w:r w:rsidRPr="00D8549B">
        <w:rPr>
          <w:rFonts w:cs="Helvetica"/>
          <w:sz w:val="22"/>
          <w:szCs w:val="22"/>
        </w:rPr>
        <w:t>Present Financial Statement to members at the BGM</w:t>
      </w:r>
    </w:p>
    <w:p w:rsidR="00B72A4C" w:rsidRDefault="00B72A4C" w:rsidP="00B72A4C">
      <w:pPr>
        <w:pStyle w:val="ListParagraph"/>
        <w:numPr>
          <w:ilvl w:val="0"/>
          <w:numId w:val="2"/>
        </w:numPr>
        <w:rPr>
          <w:rFonts w:cs="Helvetica"/>
          <w:sz w:val="22"/>
          <w:szCs w:val="22"/>
        </w:rPr>
      </w:pPr>
      <w:r>
        <w:rPr>
          <w:rFonts w:cs="Helvetica"/>
          <w:sz w:val="22"/>
          <w:szCs w:val="22"/>
        </w:rPr>
        <w:t>Recommend the auditor or financial reader to the members at the BG</w:t>
      </w:r>
      <w:r w:rsidR="0066589C">
        <w:rPr>
          <w:rFonts w:cs="Helvetica"/>
          <w:sz w:val="22"/>
          <w:szCs w:val="22"/>
        </w:rPr>
        <w:t>M</w:t>
      </w:r>
    </w:p>
    <w:p w:rsidR="00721C63" w:rsidRDefault="00B72A4C" w:rsidP="00B72A4C">
      <w:pPr>
        <w:pStyle w:val="ListParagraph"/>
        <w:numPr>
          <w:ilvl w:val="0"/>
          <w:numId w:val="2"/>
        </w:numPr>
        <w:rPr>
          <w:rFonts w:cs="Helvetica"/>
          <w:sz w:val="22"/>
          <w:szCs w:val="22"/>
        </w:rPr>
      </w:pPr>
      <w:r>
        <w:rPr>
          <w:rFonts w:cs="Helvetica"/>
          <w:sz w:val="22"/>
          <w:szCs w:val="22"/>
        </w:rPr>
        <w:t>Maintain</w:t>
      </w:r>
      <w:r w:rsidR="00721C63">
        <w:rPr>
          <w:rFonts w:cs="Helvetica"/>
          <w:sz w:val="22"/>
          <w:szCs w:val="22"/>
        </w:rPr>
        <w:t xml:space="preserve"> Directors and Officers Liability Insurance</w:t>
      </w:r>
    </w:p>
    <w:p w:rsidR="0066589C" w:rsidRDefault="0066589C" w:rsidP="0066589C">
      <w:pPr>
        <w:pStyle w:val="ListParagraph"/>
        <w:numPr>
          <w:ilvl w:val="0"/>
          <w:numId w:val="2"/>
        </w:numPr>
      </w:pPr>
      <w:r>
        <w:t xml:space="preserve">Assumes other duties as advised or directed  </w:t>
      </w:r>
    </w:p>
    <w:tbl>
      <w:tblPr>
        <w:tblStyle w:val="TableGrid"/>
        <w:tblW w:w="9669" w:type="dxa"/>
        <w:tblLook w:val="0660" w:firstRow="1" w:lastRow="1" w:firstColumn="0" w:lastColumn="0" w:noHBand="1" w:noVBand="1"/>
      </w:tblPr>
      <w:tblGrid>
        <w:gridCol w:w="2523"/>
        <w:gridCol w:w="3689"/>
        <w:gridCol w:w="1742"/>
        <w:gridCol w:w="1715"/>
      </w:tblGrid>
      <w:tr w:rsidR="005519E9" w:rsidTr="001D75E2">
        <w:trPr>
          <w:trHeight w:val="343"/>
        </w:trPr>
        <w:tc>
          <w:tcPr>
            <w:tcW w:w="2523" w:type="dxa"/>
            <w:vMerge w:val="restart"/>
          </w:tcPr>
          <w:p w:rsidR="005519E9" w:rsidRDefault="005519E9" w:rsidP="001D75E2">
            <w:pPr>
              <w:jc w:val="center"/>
            </w:pPr>
          </w:p>
          <w:p w:rsidR="005519E9" w:rsidRPr="006F2067" w:rsidRDefault="005519E9" w:rsidP="001D75E2">
            <w:pPr>
              <w:jc w:val="center"/>
              <w:rPr>
                <w:sz w:val="20"/>
                <w:szCs w:val="20"/>
              </w:rPr>
            </w:pPr>
            <w:r w:rsidRPr="006F2067">
              <w:rPr>
                <w:sz w:val="20"/>
                <w:szCs w:val="20"/>
              </w:rPr>
              <w:t>International Collaboration of PeriAnaesthesia Nurses</w:t>
            </w:r>
          </w:p>
          <w:p w:rsidR="005519E9" w:rsidRPr="006F2067" w:rsidRDefault="005519E9" w:rsidP="001D75E2">
            <w:pPr>
              <w:jc w:val="center"/>
              <w:rPr>
                <w:sz w:val="20"/>
                <w:szCs w:val="20"/>
              </w:rPr>
            </w:pPr>
          </w:p>
          <w:p w:rsidR="005519E9" w:rsidRPr="006F2067" w:rsidRDefault="005519E9" w:rsidP="001D75E2">
            <w:pPr>
              <w:jc w:val="center"/>
              <w:rPr>
                <w:sz w:val="20"/>
                <w:szCs w:val="20"/>
              </w:rPr>
            </w:pPr>
          </w:p>
          <w:p w:rsidR="005519E9" w:rsidRDefault="005519E9" w:rsidP="001D75E2">
            <w:pPr>
              <w:jc w:val="center"/>
            </w:pPr>
            <w:r w:rsidRPr="006F2067">
              <w:rPr>
                <w:sz w:val="20"/>
                <w:szCs w:val="20"/>
              </w:rPr>
              <w:t>ICPAN</w:t>
            </w:r>
          </w:p>
        </w:tc>
        <w:tc>
          <w:tcPr>
            <w:tcW w:w="3689" w:type="dxa"/>
          </w:tcPr>
          <w:p w:rsidR="005519E9" w:rsidRPr="006F2067" w:rsidRDefault="005519E9" w:rsidP="001D75E2">
            <w:pPr>
              <w:rPr>
                <w:sz w:val="20"/>
                <w:szCs w:val="20"/>
              </w:rPr>
            </w:pPr>
            <w:r w:rsidRPr="006F2067">
              <w:rPr>
                <w:sz w:val="20"/>
                <w:szCs w:val="20"/>
              </w:rPr>
              <w:t xml:space="preserve">Title: Job Description: </w:t>
            </w:r>
            <w:r>
              <w:rPr>
                <w:sz w:val="20"/>
                <w:szCs w:val="20"/>
              </w:rPr>
              <w:t>Treasurer</w:t>
            </w:r>
          </w:p>
        </w:tc>
        <w:tc>
          <w:tcPr>
            <w:tcW w:w="1742" w:type="dxa"/>
          </w:tcPr>
          <w:p w:rsidR="005519E9" w:rsidRDefault="005519E9" w:rsidP="001D75E2">
            <w:r>
              <w:t>No.</w:t>
            </w:r>
          </w:p>
        </w:tc>
        <w:tc>
          <w:tcPr>
            <w:tcW w:w="1715" w:type="dxa"/>
          </w:tcPr>
          <w:p w:rsidR="005519E9" w:rsidRDefault="005519E9" w:rsidP="005519E9">
            <w:r>
              <w:t>Page 2 of 2</w:t>
            </w:r>
          </w:p>
        </w:tc>
      </w:tr>
      <w:tr w:rsidR="005519E9" w:rsidTr="001D75E2">
        <w:trPr>
          <w:trHeight w:val="535"/>
        </w:trPr>
        <w:tc>
          <w:tcPr>
            <w:tcW w:w="2523" w:type="dxa"/>
            <w:vMerge/>
          </w:tcPr>
          <w:p w:rsidR="005519E9" w:rsidRDefault="005519E9" w:rsidP="001D75E2">
            <w:pPr>
              <w:jc w:val="center"/>
            </w:pPr>
          </w:p>
        </w:tc>
        <w:tc>
          <w:tcPr>
            <w:tcW w:w="3689" w:type="dxa"/>
          </w:tcPr>
          <w:p w:rsidR="005519E9" w:rsidRPr="006F2067" w:rsidRDefault="005519E9" w:rsidP="001D75E2">
            <w:pPr>
              <w:rPr>
                <w:sz w:val="20"/>
                <w:szCs w:val="20"/>
              </w:rPr>
            </w:pPr>
            <w:r>
              <w:rPr>
                <w:sz w:val="20"/>
                <w:szCs w:val="20"/>
              </w:rPr>
              <w:t>Approved B</w:t>
            </w:r>
            <w:r w:rsidRPr="006F2067">
              <w:rPr>
                <w:sz w:val="20"/>
                <w:szCs w:val="20"/>
              </w:rPr>
              <w:t xml:space="preserve">y </w:t>
            </w:r>
            <w:r>
              <w:rPr>
                <w:sz w:val="20"/>
                <w:szCs w:val="20"/>
              </w:rPr>
              <w:t xml:space="preserve">: </w:t>
            </w:r>
            <w:r w:rsidRPr="006F2067">
              <w:rPr>
                <w:sz w:val="20"/>
                <w:szCs w:val="20"/>
              </w:rPr>
              <w:t>ICPAN Board of Directors</w:t>
            </w:r>
          </w:p>
        </w:tc>
        <w:tc>
          <w:tcPr>
            <w:tcW w:w="3457" w:type="dxa"/>
            <w:gridSpan w:val="2"/>
            <w:vMerge w:val="restart"/>
          </w:tcPr>
          <w:p w:rsidR="005519E9" w:rsidRDefault="005519E9" w:rsidP="001D75E2">
            <w:r>
              <w:t>Last Reviewed:</w:t>
            </w:r>
          </w:p>
          <w:p w:rsidR="005519E9" w:rsidRDefault="005519E9" w:rsidP="001D75E2">
            <w:r>
              <w:t>Not Applicable</w:t>
            </w:r>
          </w:p>
        </w:tc>
      </w:tr>
      <w:tr w:rsidR="005519E9" w:rsidTr="001D75E2">
        <w:trPr>
          <w:trHeight w:val="425"/>
        </w:trPr>
        <w:tc>
          <w:tcPr>
            <w:tcW w:w="2523" w:type="dxa"/>
            <w:vMerge/>
          </w:tcPr>
          <w:p w:rsidR="005519E9" w:rsidRDefault="005519E9" w:rsidP="001D75E2">
            <w:pPr>
              <w:jc w:val="center"/>
            </w:pPr>
          </w:p>
        </w:tc>
        <w:tc>
          <w:tcPr>
            <w:tcW w:w="3689" w:type="dxa"/>
          </w:tcPr>
          <w:p w:rsidR="005519E9" w:rsidRPr="006F2067" w:rsidRDefault="005519E9" w:rsidP="001D75E2">
            <w:pPr>
              <w:rPr>
                <w:sz w:val="20"/>
                <w:szCs w:val="20"/>
              </w:rPr>
            </w:pPr>
            <w:r w:rsidRPr="006F2067">
              <w:rPr>
                <w:sz w:val="20"/>
                <w:szCs w:val="20"/>
              </w:rPr>
              <w:t>Effective Date:</w:t>
            </w:r>
          </w:p>
        </w:tc>
        <w:tc>
          <w:tcPr>
            <w:tcW w:w="3457" w:type="dxa"/>
            <w:gridSpan w:val="2"/>
            <w:vMerge/>
          </w:tcPr>
          <w:p w:rsidR="005519E9" w:rsidRDefault="005519E9" w:rsidP="001D75E2"/>
        </w:tc>
      </w:tr>
      <w:tr w:rsidR="005519E9" w:rsidTr="001D75E2">
        <w:trPr>
          <w:trHeight w:val="878"/>
        </w:trPr>
        <w:tc>
          <w:tcPr>
            <w:tcW w:w="2523" w:type="dxa"/>
            <w:vMerge/>
          </w:tcPr>
          <w:p w:rsidR="005519E9" w:rsidRDefault="005519E9" w:rsidP="001D75E2">
            <w:pPr>
              <w:jc w:val="center"/>
            </w:pPr>
          </w:p>
        </w:tc>
        <w:tc>
          <w:tcPr>
            <w:tcW w:w="3689" w:type="dxa"/>
          </w:tcPr>
          <w:p w:rsidR="005519E9" w:rsidRPr="006F2067" w:rsidRDefault="005519E9" w:rsidP="001D75E2">
            <w:pPr>
              <w:rPr>
                <w:sz w:val="20"/>
                <w:szCs w:val="20"/>
              </w:rPr>
            </w:pPr>
            <w:r w:rsidRPr="006F2067">
              <w:rPr>
                <w:sz w:val="20"/>
                <w:szCs w:val="20"/>
              </w:rPr>
              <w:t>Originated By:</w:t>
            </w:r>
          </w:p>
          <w:p w:rsidR="005519E9" w:rsidRPr="00D15EB5" w:rsidRDefault="005519E9" w:rsidP="001D75E2">
            <w:r w:rsidRPr="006F2067">
              <w:rPr>
                <w:sz w:val="20"/>
                <w:szCs w:val="20"/>
              </w:rPr>
              <w:t>Board of Directors, 2016</w:t>
            </w:r>
          </w:p>
        </w:tc>
        <w:tc>
          <w:tcPr>
            <w:tcW w:w="3457" w:type="dxa"/>
            <w:gridSpan w:val="2"/>
            <w:vMerge/>
          </w:tcPr>
          <w:p w:rsidR="005519E9" w:rsidRDefault="005519E9" w:rsidP="001D75E2"/>
        </w:tc>
      </w:tr>
    </w:tbl>
    <w:p w:rsidR="005519E9" w:rsidRDefault="005519E9" w:rsidP="005519E9"/>
    <w:p w:rsidR="005519E9" w:rsidRDefault="005519E9" w:rsidP="00B72A4C">
      <w:pPr>
        <w:widowControl w:val="0"/>
        <w:autoSpaceDE w:val="0"/>
        <w:autoSpaceDN w:val="0"/>
        <w:adjustRightInd w:val="0"/>
        <w:rPr>
          <w:rFonts w:cs="Helvetica"/>
          <w:b/>
          <w:u w:val="single"/>
        </w:rPr>
      </w:pPr>
    </w:p>
    <w:p w:rsidR="00B72A4C" w:rsidRPr="005519E9" w:rsidRDefault="00B72A4C" w:rsidP="00B72A4C">
      <w:pPr>
        <w:widowControl w:val="0"/>
        <w:autoSpaceDE w:val="0"/>
        <w:autoSpaceDN w:val="0"/>
        <w:adjustRightInd w:val="0"/>
        <w:rPr>
          <w:rFonts w:cs="Helvetica"/>
          <w:b/>
          <w:u w:val="single"/>
        </w:rPr>
      </w:pPr>
      <w:r w:rsidRPr="005519E9">
        <w:rPr>
          <w:rFonts w:cs="Helvetica"/>
          <w:b/>
          <w:u w:val="single"/>
        </w:rPr>
        <w:t>Note</w:t>
      </w:r>
      <w:r w:rsidR="001C2A62">
        <w:rPr>
          <w:rFonts w:cs="Helvetica"/>
          <w:b/>
          <w:u w:val="single"/>
        </w:rPr>
        <w:t>s for</w:t>
      </w:r>
      <w:bookmarkStart w:id="0" w:name="_GoBack"/>
      <w:bookmarkEnd w:id="0"/>
      <w:r w:rsidRPr="005519E9">
        <w:rPr>
          <w:rFonts w:cs="Helvetica"/>
          <w:b/>
          <w:u w:val="single"/>
        </w:rPr>
        <w:t xml:space="preserve"> Treasurer in a 501C-3 Company:</w:t>
      </w:r>
    </w:p>
    <w:p w:rsidR="00B72A4C" w:rsidRPr="005519E9" w:rsidRDefault="00B72A4C" w:rsidP="00B72A4C">
      <w:pPr>
        <w:widowControl w:val="0"/>
        <w:autoSpaceDE w:val="0"/>
        <w:autoSpaceDN w:val="0"/>
        <w:adjustRightInd w:val="0"/>
        <w:rPr>
          <w:rFonts w:cs="Helvetica"/>
          <w:u w:val="single"/>
        </w:rPr>
      </w:pPr>
    </w:p>
    <w:p w:rsidR="00B72A4C" w:rsidRPr="005519E9" w:rsidRDefault="00B72A4C" w:rsidP="00B72A4C">
      <w:pPr>
        <w:widowControl w:val="0"/>
        <w:autoSpaceDE w:val="0"/>
        <w:autoSpaceDN w:val="0"/>
        <w:adjustRightInd w:val="0"/>
        <w:rPr>
          <w:rFonts w:cs="Helvetica"/>
          <w:b/>
        </w:rPr>
      </w:pPr>
      <w:r w:rsidRPr="005519E9">
        <w:rPr>
          <w:rFonts w:cs="Helvetica"/>
          <w:b/>
        </w:rPr>
        <w:t>Treasurer’s Liabilities</w:t>
      </w:r>
    </w:p>
    <w:p w:rsidR="00B72A4C" w:rsidRPr="00F30C7D" w:rsidRDefault="00B72A4C" w:rsidP="00B72A4C">
      <w:pPr>
        <w:rPr>
          <w:rFonts w:cs="Helvetica"/>
        </w:rPr>
      </w:pPr>
      <w:r w:rsidRPr="00F30C7D">
        <w:rPr>
          <w:rFonts w:cs="Helvetica"/>
        </w:rPr>
        <w:t xml:space="preserve">As a charity treasurer, you may be held personally liable for the damage done by fraud perpetrated by others if the IRS deems you and your board did not perform your fiduciary responsibility to exercise reasonable care over the organization’s finances. ICPAN carries directors’ and officers’ insurance, which provides some protection in the event the organization’s principals are sued. </w:t>
      </w:r>
    </w:p>
    <w:p w:rsidR="00B72A4C" w:rsidRPr="00F30C7D" w:rsidRDefault="00B72A4C" w:rsidP="00B72A4C">
      <w:pPr>
        <w:rPr>
          <w:rFonts w:cs="Helvetica"/>
        </w:rPr>
      </w:pPr>
    </w:p>
    <w:p w:rsidR="00B72A4C" w:rsidRPr="005519E9" w:rsidRDefault="00B72A4C" w:rsidP="00B72A4C">
      <w:pPr>
        <w:widowControl w:val="0"/>
        <w:autoSpaceDE w:val="0"/>
        <w:autoSpaceDN w:val="0"/>
        <w:adjustRightInd w:val="0"/>
        <w:rPr>
          <w:rFonts w:cs="Helvetica"/>
          <w:b/>
        </w:rPr>
      </w:pPr>
      <w:r w:rsidRPr="005519E9">
        <w:rPr>
          <w:rFonts w:cs="Helvetica"/>
          <w:b/>
        </w:rPr>
        <w:t>501(c)(3) Organizations</w:t>
      </w:r>
    </w:p>
    <w:p w:rsidR="00B72A4C" w:rsidRPr="005519E9" w:rsidRDefault="00B72A4C" w:rsidP="00B72A4C">
      <w:pPr>
        <w:widowControl w:val="0"/>
        <w:autoSpaceDE w:val="0"/>
        <w:autoSpaceDN w:val="0"/>
        <w:adjustRightInd w:val="0"/>
        <w:rPr>
          <w:rFonts w:cs="Helvetica"/>
          <w:color w:val="FF0000"/>
        </w:rPr>
      </w:pPr>
      <w:r w:rsidRPr="00F30C7D">
        <w:rPr>
          <w:rFonts w:cs="Helvetica"/>
        </w:rPr>
        <w:t xml:space="preserve">ICPAN has Internal Revenue Service recognition and federal tax-exempt status. This means that unlike other </w:t>
      </w:r>
      <w:proofErr w:type="spellStart"/>
      <w:r w:rsidRPr="00F30C7D">
        <w:rPr>
          <w:rFonts w:cs="Helvetica"/>
        </w:rPr>
        <w:t>nonprofits</w:t>
      </w:r>
      <w:proofErr w:type="spellEnd"/>
      <w:r w:rsidRPr="00F30C7D">
        <w:rPr>
          <w:rFonts w:cs="Helvetica"/>
        </w:rPr>
        <w:t xml:space="preserve">, such as trade associations, the organization’s donors receive a tax deduction when they make a contribution. </w:t>
      </w:r>
      <w:r w:rsidR="005519E9">
        <w:rPr>
          <w:rFonts w:cs="Helvetica"/>
          <w:color w:val="FF0000"/>
        </w:rPr>
        <w:t>Discuss adding in the United States of America</w:t>
      </w:r>
    </w:p>
    <w:p w:rsidR="00B72A4C" w:rsidRPr="00F30C7D" w:rsidRDefault="00B72A4C" w:rsidP="00B72A4C">
      <w:pPr>
        <w:rPr>
          <w:rFonts w:cs="Helvetica"/>
          <w:sz w:val="26"/>
          <w:szCs w:val="26"/>
        </w:rPr>
      </w:pPr>
    </w:p>
    <w:p w:rsidR="00B72A4C" w:rsidRDefault="00B72A4C" w:rsidP="00B72A4C">
      <w:pPr>
        <w:rPr>
          <w:rFonts w:ascii="Helvetica" w:hAnsi="Helvetica" w:cs="Helvetica"/>
          <w:sz w:val="26"/>
          <w:szCs w:val="26"/>
        </w:rPr>
      </w:pPr>
    </w:p>
    <w:p w:rsidR="00B72A4C" w:rsidRPr="005519E9" w:rsidRDefault="005519E9" w:rsidP="00B72A4C">
      <w:pPr>
        <w:rPr>
          <w:b/>
          <w:u w:val="single"/>
        </w:rPr>
      </w:pPr>
      <w:r w:rsidRPr="005519E9">
        <w:rPr>
          <w:b/>
          <w:u w:val="single"/>
        </w:rPr>
        <w:t>Term of Office:</w:t>
      </w:r>
    </w:p>
    <w:p w:rsidR="00B72A4C" w:rsidRDefault="00B72A4C" w:rsidP="00B72A4C"/>
    <w:p w:rsidR="005519E9" w:rsidRDefault="005519E9" w:rsidP="005519E9">
      <w:pPr>
        <w:pStyle w:val="ListParagraph"/>
        <w:numPr>
          <w:ilvl w:val="0"/>
          <w:numId w:val="3"/>
        </w:numPr>
      </w:pPr>
      <w:r>
        <w:t>Elected for a two (2) year term of office</w:t>
      </w:r>
    </w:p>
    <w:p w:rsidR="005519E9" w:rsidRPr="005519E9" w:rsidRDefault="005519E9" w:rsidP="005519E9">
      <w:pPr>
        <w:pStyle w:val="ListParagraph"/>
        <w:numPr>
          <w:ilvl w:val="0"/>
          <w:numId w:val="3"/>
        </w:numPr>
        <w:rPr>
          <w:color w:val="FF0000"/>
        </w:rPr>
      </w:pPr>
      <w:r>
        <w:t xml:space="preserve">May be re-elected and serve two (2) consecutive terms – </w:t>
      </w:r>
      <w:r w:rsidRPr="005519E9">
        <w:rPr>
          <w:color w:val="FF0000"/>
        </w:rPr>
        <w:t>to be discussed</w:t>
      </w:r>
    </w:p>
    <w:p w:rsidR="001C5B2E" w:rsidRPr="00B72A4C" w:rsidRDefault="001C5B2E" w:rsidP="00B72A4C"/>
    <w:sectPr w:rsidR="001C5B2E" w:rsidRPr="00B72A4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33D4C"/>
    <w:multiLevelType w:val="hybridMultilevel"/>
    <w:tmpl w:val="AD4497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9E93338"/>
    <w:multiLevelType w:val="hybridMultilevel"/>
    <w:tmpl w:val="FC1A39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14D34A9"/>
    <w:multiLevelType w:val="hybridMultilevel"/>
    <w:tmpl w:val="E1122A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B3206FA"/>
    <w:multiLevelType w:val="hybridMultilevel"/>
    <w:tmpl w:val="AABA53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A4C"/>
    <w:rsid w:val="0010485A"/>
    <w:rsid w:val="00121DFF"/>
    <w:rsid w:val="001C2A62"/>
    <w:rsid w:val="001C5B2E"/>
    <w:rsid w:val="002A65A4"/>
    <w:rsid w:val="00387249"/>
    <w:rsid w:val="005519E9"/>
    <w:rsid w:val="00563DB8"/>
    <w:rsid w:val="005D0EE9"/>
    <w:rsid w:val="0066589C"/>
    <w:rsid w:val="00721C63"/>
    <w:rsid w:val="00B72A4C"/>
    <w:rsid w:val="00F86A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0E8BE"/>
  <w15:docId w15:val="{05E86328-25FA-4F7E-B01C-4F8BF2658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72A4C"/>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EE9"/>
    <w:rPr>
      <w:rFonts w:ascii="Tahoma" w:hAnsi="Tahoma" w:cs="Tahoma"/>
      <w:sz w:val="16"/>
      <w:szCs w:val="16"/>
    </w:rPr>
  </w:style>
  <w:style w:type="character" w:customStyle="1" w:styleId="BalloonTextChar">
    <w:name w:val="Balloon Text Char"/>
    <w:basedOn w:val="DefaultParagraphFont"/>
    <w:link w:val="BalloonText"/>
    <w:uiPriority w:val="99"/>
    <w:semiHidden/>
    <w:rsid w:val="005D0EE9"/>
    <w:rPr>
      <w:rFonts w:ascii="Tahoma" w:hAnsi="Tahoma" w:cs="Tahoma"/>
      <w:sz w:val="16"/>
      <w:szCs w:val="16"/>
    </w:rPr>
  </w:style>
  <w:style w:type="table" w:styleId="TableGrid">
    <w:name w:val="Table Grid"/>
    <w:basedOn w:val="TableNormal"/>
    <w:uiPriority w:val="59"/>
    <w:rsid w:val="00B72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2A4C"/>
    <w:pPr>
      <w:ind w:left="720"/>
      <w:contextualSpacing/>
    </w:pPr>
    <w:rPr>
      <w:rFonts w:eastAsiaTheme="minorEastAsia"/>
      <w:sz w:val="24"/>
      <w:szCs w:val="24"/>
      <w:lang w:val="en-US"/>
    </w:rPr>
  </w:style>
  <w:style w:type="character" w:styleId="CommentReference">
    <w:name w:val="annotation reference"/>
    <w:basedOn w:val="DefaultParagraphFont"/>
    <w:uiPriority w:val="99"/>
    <w:semiHidden/>
    <w:unhideWhenUsed/>
    <w:rsid w:val="00B72A4C"/>
    <w:rPr>
      <w:sz w:val="16"/>
      <w:szCs w:val="16"/>
    </w:rPr>
  </w:style>
  <w:style w:type="paragraph" w:styleId="CommentText">
    <w:name w:val="annotation text"/>
    <w:basedOn w:val="Normal"/>
    <w:link w:val="CommentTextChar"/>
    <w:uiPriority w:val="99"/>
    <w:semiHidden/>
    <w:unhideWhenUsed/>
    <w:rsid w:val="00B72A4C"/>
    <w:rPr>
      <w:sz w:val="20"/>
      <w:szCs w:val="20"/>
    </w:rPr>
  </w:style>
  <w:style w:type="character" w:customStyle="1" w:styleId="CommentTextChar">
    <w:name w:val="Comment Text Char"/>
    <w:basedOn w:val="DefaultParagraphFont"/>
    <w:link w:val="CommentText"/>
    <w:uiPriority w:val="99"/>
    <w:semiHidden/>
    <w:rsid w:val="00B72A4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ERCO Worldwide</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Saskatoon Nurse</dc:creator>
  <cp:lastModifiedBy>Joni Brady</cp:lastModifiedBy>
  <cp:revision>7</cp:revision>
  <cp:lastPrinted>2016-10-24T20:12:00Z</cp:lastPrinted>
  <dcterms:created xsi:type="dcterms:W3CDTF">2016-10-24T23:13:00Z</dcterms:created>
  <dcterms:modified xsi:type="dcterms:W3CDTF">2016-10-25T02:08:00Z</dcterms:modified>
</cp:coreProperties>
</file>